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8D767" w14:textId="228ED31B" w:rsidR="00432557" w:rsidRPr="00432557" w:rsidRDefault="00432557" w:rsidP="00432557">
      <w:pPr>
        <w:rPr>
          <w:szCs w:val="24"/>
        </w:rPr>
      </w:pPr>
      <w:r w:rsidRPr="00432557">
        <w:rPr>
          <w:b/>
          <w:bCs/>
          <w:sz w:val="28"/>
          <w:szCs w:val="28"/>
        </w:rPr>
        <w:t>What were the Mishnah and the Talmud? When were they written, and by whom? How did they transform Judaism and the Jewish people?</w:t>
      </w:r>
    </w:p>
    <w:p w14:paraId="050705B4" w14:textId="77777777" w:rsidR="00432557" w:rsidRDefault="00432557" w:rsidP="00432557"/>
    <w:p w14:paraId="683722F0" w14:textId="2C748EF4" w:rsidR="00432557" w:rsidRPr="00432557" w:rsidRDefault="00432557" w:rsidP="00432557">
      <w:r w:rsidRPr="00432557">
        <w:t xml:space="preserve">The Mishnah and the Talmud are the foundational works of </w:t>
      </w:r>
      <w:r w:rsidRPr="00432557">
        <w:rPr>
          <w:b/>
          <w:bCs/>
        </w:rPr>
        <w:t>rabbinic</w:t>
      </w:r>
      <w:r w:rsidRPr="00432557">
        <w:t xml:space="preserve"> Judaism: the form of Judaism organized around Torah interpreted and applied through the teachings of the rabbis. The Mishnah collected and arranged earlier rabbinic teachings around 200 CE; the two Talmuds developed through several subsequent centuries of discussion of those teachings, in the Land of Israel and Babylonia. Together, they supplied much of the legal framework, intellectual method, and shared vocabulary through which Jewish communities sustained religious life across the diaspora.</w:t>
      </w:r>
      <w:r w:rsidRPr="00432557">
        <w:t xml:space="preserve"> </w:t>
      </w:r>
    </w:p>
    <w:p w14:paraId="264431C6" w14:textId="4350C50A" w:rsidR="00432557" w:rsidRPr="00432557" w:rsidRDefault="00432557" w:rsidP="00432557">
      <w:r w:rsidRPr="00432557">
        <w:t xml:space="preserve">A crucial qualification concerns the word </w:t>
      </w:r>
      <w:r>
        <w:t>"</w:t>
      </w:r>
      <w:r w:rsidRPr="00432557">
        <w:t>written.</w:t>
      </w:r>
      <w:r>
        <w:t>"</w:t>
      </w:r>
      <w:r w:rsidRPr="00432557">
        <w:t xml:space="preserve"> These works developed within a predominantly oral teaching culture. Their formulation, editing, transmission, and eventual circulation as manuscripts </w:t>
      </w:r>
      <w:r>
        <w:t>overlapped—not as</w:t>
      </w:r>
      <w:r w:rsidRPr="00432557">
        <w:t xml:space="preserve"> single events with identifiable publication dates.</w:t>
      </w:r>
      <w:r w:rsidRPr="00432557">
        <w:t xml:space="preserve"> </w:t>
      </w:r>
    </w:p>
    <w:p w14:paraId="21363194" w14:textId="77777777" w:rsidR="00432557" w:rsidRPr="00432557" w:rsidRDefault="00432557" w:rsidP="00432557">
      <w:pPr>
        <w:rPr>
          <w:b/>
          <w:bCs/>
        </w:rPr>
      </w:pPr>
      <w:r w:rsidRPr="00432557">
        <w:rPr>
          <w:b/>
          <w:bCs/>
        </w:rPr>
        <w:t>1. What was the Mishnah?</w:t>
      </w:r>
    </w:p>
    <w:p w14:paraId="3718BA88" w14:textId="5F0BE999" w:rsidR="00432557" w:rsidRPr="00432557" w:rsidRDefault="00432557" w:rsidP="00432557">
      <w:r w:rsidRPr="00432557">
        <w:t>The Mishnah—its name connected with repetition and learning—is a systematic collection of rabbinic legal teachings, formulated principally in Hebrew. It became the first major organizing text of the rabbinic tradition. It is better understood as a curriculum for studying Jewish law than as a modern legal code: it preserves disagreements, alternative rulings, and unresolved questions rather than simply providing one authoritative answer to every problem.</w:t>
      </w:r>
      <w:r w:rsidRPr="00432557">
        <w:t xml:space="preserve"> </w:t>
      </w:r>
    </w:p>
    <w:p w14:paraId="4AB8BCFC" w14:textId="5DB08D62" w:rsidR="00432557" w:rsidRPr="00432557" w:rsidRDefault="00432557" w:rsidP="00432557">
      <w:r w:rsidRPr="00432557">
        <w:t xml:space="preserve">Unlike a running commentary on the Bible, the Mishnah generally organizes its material by subject. Its six </w:t>
      </w:r>
      <w:r>
        <w:t>"</w:t>
      </w:r>
      <w:r w:rsidRPr="00432557">
        <w:t>orders,</w:t>
      </w:r>
      <w:r>
        <w:t>"</w:t>
      </w:r>
      <w:r w:rsidRPr="00432557">
        <w:t xml:space="preserve"> subdivided into sixty-three tractates, encompass:</w:t>
      </w:r>
      <w:r w:rsidRPr="00432557">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7"/>
        <w:gridCol w:w="5647"/>
      </w:tblGrid>
      <w:tr w:rsidR="00432557" w:rsidRPr="00432557" w14:paraId="7F5F79D4" w14:textId="77777777" w:rsidTr="00432557">
        <w:trPr>
          <w:tblHeader/>
          <w:tblCellSpacing w:w="15" w:type="dxa"/>
        </w:trPr>
        <w:tc>
          <w:tcPr>
            <w:tcW w:w="0" w:type="auto"/>
            <w:vAlign w:val="center"/>
            <w:hideMark/>
          </w:tcPr>
          <w:p w14:paraId="2C36F7A0" w14:textId="77777777" w:rsidR="00432557" w:rsidRPr="00432557" w:rsidRDefault="00432557" w:rsidP="00432557">
            <w:pPr>
              <w:rPr>
                <w:b/>
                <w:bCs/>
              </w:rPr>
            </w:pPr>
            <w:r w:rsidRPr="00432557">
              <w:rPr>
                <w:b/>
                <w:bCs/>
              </w:rPr>
              <w:t>Order</w:t>
            </w:r>
          </w:p>
        </w:tc>
        <w:tc>
          <w:tcPr>
            <w:tcW w:w="0" w:type="auto"/>
            <w:vAlign w:val="center"/>
            <w:hideMark/>
          </w:tcPr>
          <w:p w14:paraId="53C67410" w14:textId="77777777" w:rsidR="00432557" w:rsidRPr="00432557" w:rsidRDefault="00432557" w:rsidP="00432557">
            <w:pPr>
              <w:rPr>
                <w:b/>
                <w:bCs/>
              </w:rPr>
            </w:pPr>
            <w:r w:rsidRPr="00432557">
              <w:rPr>
                <w:b/>
                <w:bCs/>
              </w:rPr>
              <w:t>Principal subjects</w:t>
            </w:r>
          </w:p>
        </w:tc>
      </w:tr>
      <w:tr w:rsidR="00432557" w:rsidRPr="00432557" w14:paraId="1FCC21A0" w14:textId="77777777" w:rsidTr="00432557">
        <w:trPr>
          <w:tblCellSpacing w:w="15" w:type="dxa"/>
        </w:trPr>
        <w:tc>
          <w:tcPr>
            <w:tcW w:w="0" w:type="auto"/>
            <w:vAlign w:val="center"/>
            <w:hideMark/>
          </w:tcPr>
          <w:p w14:paraId="0CD1A910" w14:textId="0361E67C" w:rsidR="00432557" w:rsidRPr="00432557" w:rsidRDefault="00432557" w:rsidP="00432557">
            <w:r w:rsidRPr="00432557">
              <w:rPr>
                <w:i/>
                <w:iCs/>
              </w:rPr>
              <w:t>Zeraʿim</w:t>
            </w:r>
            <w:r w:rsidRPr="00432557">
              <w:t xml:space="preserve"> — </w:t>
            </w:r>
            <w:r>
              <w:t>"</w:t>
            </w:r>
            <w:r w:rsidRPr="00432557">
              <w:t>Seeds</w:t>
            </w:r>
            <w:r>
              <w:t>"</w:t>
            </w:r>
          </w:p>
        </w:tc>
        <w:tc>
          <w:tcPr>
            <w:tcW w:w="0" w:type="auto"/>
            <w:vAlign w:val="center"/>
            <w:hideMark/>
          </w:tcPr>
          <w:p w14:paraId="624F85C8" w14:textId="77777777" w:rsidR="00432557" w:rsidRPr="00432557" w:rsidRDefault="00432557" w:rsidP="00432557">
            <w:r w:rsidRPr="00432557">
              <w:t>Agricultural obligations, alongside blessings and prayer</w:t>
            </w:r>
          </w:p>
        </w:tc>
      </w:tr>
      <w:tr w:rsidR="00432557" w:rsidRPr="00432557" w14:paraId="541E5003" w14:textId="77777777" w:rsidTr="00432557">
        <w:trPr>
          <w:tblCellSpacing w:w="15" w:type="dxa"/>
        </w:trPr>
        <w:tc>
          <w:tcPr>
            <w:tcW w:w="0" w:type="auto"/>
            <w:vAlign w:val="center"/>
            <w:hideMark/>
          </w:tcPr>
          <w:p w14:paraId="7532B40A" w14:textId="4F4BED36" w:rsidR="00432557" w:rsidRPr="00432557" w:rsidRDefault="00432557" w:rsidP="00432557">
            <w:r w:rsidRPr="00432557">
              <w:rPr>
                <w:i/>
                <w:iCs/>
              </w:rPr>
              <w:t>Moʿed</w:t>
            </w:r>
            <w:r w:rsidRPr="00432557">
              <w:t xml:space="preserve"> — </w:t>
            </w:r>
            <w:r>
              <w:t>"</w:t>
            </w:r>
            <w:r w:rsidRPr="00432557">
              <w:t>Appointed Time</w:t>
            </w:r>
            <w:r>
              <w:t>"</w:t>
            </w:r>
          </w:p>
        </w:tc>
        <w:tc>
          <w:tcPr>
            <w:tcW w:w="0" w:type="auto"/>
            <w:vAlign w:val="center"/>
            <w:hideMark/>
          </w:tcPr>
          <w:p w14:paraId="3531D753" w14:textId="77777777" w:rsidR="00432557" w:rsidRPr="00432557" w:rsidRDefault="00432557" w:rsidP="00432557">
            <w:r w:rsidRPr="00432557">
              <w:t>Sabbath, festivals, and related observances</w:t>
            </w:r>
          </w:p>
        </w:tc>
      </w:tr>
      <w:tr w:rsidR="00432557" w:rsidRPr="00432557" w14:paraId="438DEBC9" w14:textId="77777777" w:rsidTr="00432557">
        <w:trPr>
          <w:tblCellSpacing w:w="15" w:type="dxa"/>
        </w:trPr>
        <w:tc>
          <w:tcPr>
            <w:tcW w:w="0" w:type="auto"/>
            <w:vAlign w:val="center"/>
            <w:hideMark/>
          </w:tcPr>
          <w:p w14:paraId="29F05A28" w14:textId="71FC2416" w:rsidR="00432557" w:rsidRPr="00432557" w:rsidRDefault="00432557" w:rsidP="00432557">
            <w:r w:rsidRPr="00432557">
              <w:rPr>
                <w:i/>
                <w:iCs/>
              </w:rPr>
              <w:t>Nashim</w:t>
            </w:r>
            <w:r w:rsidRPr="00432557">
              <w:t xml:space="preserve"> — </w:t>
            </w:r>
            <w:r>
              <w:t>"</w:t>
            </w:r>
            <w:r w:rsidRPr="00432557">
              <w:t>Women</w:t>
            </w:r>
            <w:r>
              <w:t>"</w:t>
            </w:r>
          </w:p>
        </w:tc>
        <w:tc>
          <w:tcPr>
            <w:tcW w:w="0" w:type="auto"/>
            <w:vAlign w:val="center"/>
            <w:hideMark/>
          </w:tcPr>
          <w:p w14:paraId="04BF8CEC" w14:textId="77777777" w:rsidR="00432557" w:rsidRPr="00432557" w:rsidRDefault="00432557" w:rsidP="00432557">
            <w:r w:rsidRPr="00432557">
              <w:t>Marriage, divorce, and related obligations</w:t>
            </w:r>
          </w:p>
        </w:tc>
      </w:tr>
      <w:tr w:rsidR="00432557" w:rsidRPr="00432557" w14:paraId="561D19CD" w14:textId="77777777" w:rsidTr="00432557">
        <w:trPr>
          <w:tblCellSpacing w:w="15" w:type="dxa"/>
        </w:trPr>
        <w:tc>
          <w:tcPr>
            <w:tcW w:w="0" w:type="auto"/>
            <w:vAlign w:val="center"/>
            <w:hideMark/>
          </w:tcPr>
          <w:p w14:paraId="369B64BF" w14:textId="2E05AF01" w:rsidR="00432557" w:rsidRPr="00432557" w:rsidRDefault="00432557" w:rsidP="00432557">
            <w:r w:rsidRPr="00432557">
              <w:rPr>
                <w:i/>
                <w:iCs/>
              </w:rPr>
              <w:t>Neziqin</w:t>
            </w:r>
            <w:r w:rsidRPr="00432557">
              <w:t xml:space="preserve"> — </w:t>
            </w:r>
            <w:r>
              <w:t>"</w:t>
            </w:r>
            <w:r w:rsidRPr="00432557">
              <w:t>Damages</w:t>
            </w:r>
            <w:r>
              <w:t>"</w:t>
            </w:r>
          </w:p>
        </w:tc>
        <w:tc>
          <w:tcPr>
            <w:tcW w:w="0" w:type="auto"/>
            <w:vAlign w:val="center"/>
            <w:hideMark/>
          </w:tcPr>
          <w:p w14:paraId="0274CE5B" w14:textId="77777777" w:rsidR="00432557" w:rsidRPr="00432557" w:rsidRDefault="00432557" w:rsidP="00432557">
            <w:r w:rsidRPr="00432557">
              <w:t>Civil law, courts, and associated legal and ethical subjects</w:t>
            </w:r>
          </w:p>
        </w:tc>
      </w:tr>
      <w:tr w:rsidR="00432557" w:rsidRPr="00432557" w14:paraId="3B6147E2" w14:textId="77777777" w:rsidTr="00432557">
        <w:trPr>
          <w:tblCellSpacing w:w="15" w:type="dxa"/>
        </w:trPr>
        <w:tc>
          <w:tcPr>
            <w:tcW w:w="0" w:type="auto"/>
            <w:vAlign w:val="center"/>
            <w:hideMark/>
          </w:tcPr>
          <w:p w14:paraId="3573B5C7" w14:textId="0856777D" w:rsidR="00432557" w:rsidRPr="00432557" w:rsidRDefault="00432557" w:rsidP="00432557">
            <w:r w:rsidRPr="00432557">
              <w:rPr>
                <w:i/>
                <w:iCs/>
              </w:rPr>
              <w:t>Qodashim</w:t>
            </w:r>
            <w:r w:rsidRPr="00432557">
              <w:t xml:space="preserve"> — </w:t>
            </w:r>
            <w:r>
              <w:t>"</w:t>
            </w:r>
            <w:r w:rsidRPr="00432557">
              <w:t>Holy Things</w:t>
            </w:r>
            <w:r>
              <w:t>"</w:t>
            </w:r>
          </w:p>
        </w:tc>
        <w:tc>
          <w:tcPr>
            <w:tcW w:w="0" w:type="auto"/>
            <w:vAlign w:val="center"/>
            <w:hideMark/>
          </w:tcPr>
          <w:p w14:paraId="331157C7" w14:textId="77777777" w:rsidR="00432557" w:rsidRPr="00432557" w:rsidRDefault="00432557" w:rsidP="00432557">
            <w:r w:rsidRPr="00432557">
              <w:t>Sacrifices, sacred property, and ritual slaughter</w:t>
            </w:r>
          </w:p>
        </w:tc>
      </w:tr>
      <w:tr w:rsidR="00432557" w:rsidRPr="00432557" w14:paraId="58A7514A" w14:textId="77777777" w:rsidTr="00432557">
        <w:trPr>
          <w:tblCellSpacing w:w="15" w:type="dxa"/>
        </w:trPr>
        <w:tc>
          <w:tcPr>
            <w:tcW w:w="0" w:type="auto"/>
            <w:vAlign w:val="center"/>
            <w:hideMark/>
          </w:tcPr>
          <w:p w14:paraId="1E0F73BC" w14:textId="12BF1641" w:rsidR="00432557" w:rsidRPr="00432557" w:rsidRDefault="00432557" w:rsidP="00432557">
            <w:r w:rsidRPr="00432557">
              <w:rPr>
                <w:i/>
                <w:iCs/>
              </w:rPr>
              <w:t>Ṭohorot</w:t>
            </w:r>
            <w:r w:rsidRPr="00432557">
              <w:t xml:space="preserve"> — </w:t>
            </w:r>
            <w:r>
              <w:t>"</w:t>
            </w:r>
            <w:r w:rsidRPr="00432557">
              <w:t>Purities</w:t>
            </w:r>
            <w:r>
              <w:t>"</w:t>
            </w:r>
          </w:p>
        </w:tc>
        <w:tc>
          <w:tcPr>
            <w:tcW w:w="0" w:type="auto"/>
            <w:vAlign w:val="center"/>
            <w:hideMark/>
          </w:tcPr>
          <w:p w14:paraId="51D7A37A" w14:textId="77777777" w:rsidR="00432557" w:rsidRPr="00432557" w:rsidRDefault="00432557" w:rsidP="00432557">
            <w:r w:rsidRPr="00432557">
              <w:t>Ritual purity and impurity</w:t>
            </w:r>
          </w:p>
        </w:tc>
      </w:tr>
    </w:tbl>
    <w:p w14:paraId="25E67926" w14:textId="40C28127" w:rsidR="00432557" w:rsidRPr="00432557" w:rsidRDefault="00432557" w:rsidP="00432557">
      <w:r w:rsidRPr="00432557">
        <w:t>These divisions are important historically. The Mishnah did not merely provide practical rules for life after the Temple</w:t>
      </w:r>
      <w:r>
        <w:t>'</w:t>
      </w:r>
      <w:r w:rsidRPr="00432557">
        <w:t>s destruction: it also preserved extensive discussion of sacrifices, the Temple, and purity. It maintained an encompassing vision of Israel</w:t>
      </w:r>
      <w:r>
        <w:t>'</w:t>
      </w:r>
      <w:r w:rsidRPr="00432557">
        <w:t>s sacred order, including institutions that no longer operated.</w:t>
      </w:r>
      <w:r w:rsidRPr="00432557">
        <w:t xml:space="preserve"> </w:t>
      </w:r>
    </w:p>
    <w:p w14:paraId="15C2648C" w14:textId="77777777" w:rsidR="00432557" w:rsidRPr="00432557" w:rsidRDefault="00432557" w:rsidP="00432557">
      <w:pPr>
        <w:rPr>
          <w:b/>
          <w:bCs/>
        </w:rPr>
      </w:pPr>
      <w:r w:rsidRPr="00432557">
        <w:rPr>
          <w:b/>
          <w:bCs/>
        </w:rPr>
        <w:t>When, and by whom, was it compiled?</w:t>
      </w:r>
    </w:p>
    <w:p w14:paraId="5D981C1C" w14:textId="5A28075B" w:rsidR="00432557" w:rsidRPr="00432557" w:rsidRDefault="00432557" w:rsidP="00432557">
      <w:r w:rsidRPr="00432557">
        <w:lastRenderedPageBreak/>
        <w:t xml:space="preserve">The Mishnah received its principal redaction around 200 CE under Rabbi Judah ha-Nasi—Judah the Patriarch, often called </w:t>
      </w:r>
      <w:r>
        <w:t>"</w:t>
      </w:r>
      <w:r w:rsidRPr="00432557">
        <w:t>Rabbi</w:t>
      </w:r>
      <w:r>
        <w:t>"</w:t>
      </w:r>
      <w:r w:rsidRPr="00432557">
        <w:t xml:space="preserve">—in Roman Palestine, particularly Galilee. He was its central compiler and editor, not the original author of all its contents. He inherited traditions and collections developed by generations of teachers known as the </w:t>
      </w:r>
      <w:r w:rsidRPr="00432557">
        <w:rPr>
          <w:i/>
          <w:iCs/>
        </w:rPr>
        <w:t>tannaim</w:t>
      </w:r>
      <w:r w:rsidRPr="00432557">
        <w:t xml:space="preserve">. Earlier figures, especially Rabbi Akiva and Rabbi Meir, </w:t>
      </w:r>
      <w:r>
        <w:t>helped shape and organize</w:t>
      </w:r>
      <w:r w:rsidRPr="00432557">
        <w:t xml:space="preserve"> this material.</w:t>
      </w:r>
      <w:r w:rsidRPr="00432557">
        <w:t xml:space="preserve"> </w:t>
      </w:r>
    </w:p>
    <w:p w14:paraId="2F7B426D" w14:textId="2D645076" w:rsidR="00432557" w:rsidRPr="00432557" w:rsidRDefault="00432557" w:rsidP="00432557">
      <w:r>
        <w:t>"</w:t>
      </w:r>
      <w:r w:rsidRPr="00432557">
        <w:t>Compiled around 200</w:t>
      </w:r>
      <w:r>
        <w:t>"</w:t>
      </w:r>
      <w:r w:rsidRPr="00432557">
        <w:t xml:space="preserve"> is therefore more precise than </w:t>
      </w:r>
      <w:r>
        <w:t>"</w:t>
      </w:r>
      <w:r w:rsidRPr="00432557">
        <w:t>written in 200.</w:t>
      </w:r>
      <w:r>
        <w:t>"</w:t>
      </w:r>
      <w:r w:rsidRPr="00432557">
        <w:t xml:space="preserve"> Scholars debate the extent of Judah</w:t>
      </w:r>
      <w:r>
        <w:t>'</w:t>
      </w:r>
      <w:r w:rsidRPr="00432557">
        <w:t xml:space="preserve">s editorial contribution and the timing of the transition from an orally promulgated Mishnah to a written text used in formal study. Its concise formulations </w:t>
      </w:r>
      <w:r>
        <w:t>suited</w:t>
      </w:r>
      <w:r w:rsidRPr="00432557">
        <w:t xml:space="preserve"> memorization and recitation.</w:t>
      </w:r>
      <w:r w:rsidRPr="00432557">
        <w:t xml:space="preserve"> </w:t>
      </w:r>
    </w:p>
    <w:p w14:paraId="26B02ACA" w14:textId="77777777" w:rsidR="00432557" w:rsidRPr="00432557" w:rsidRDefault="00432557" w:rsidP="00432557">
      <w:pPr>
        <w:rPr>
          <w:b/>
          <w:bCs/>
        </w:rPr>
      </w:pPr>
      <w:r w:rsidRPr="00432557">
        <w:rPr>
          <w:b/>
          <w:bCs/>
        </w:rPr>
        <w:t>2. What was the Talmud?</w:t>
      </w:r>
    </w:p>
    <w:p w14:paraId="4F663D08" w14:textId="0E7DAF26" w:rsidR="00432557" w:rsidRPr="00432557" w:rsidRDefault="00432557" w:rsidP="00432557">
      <w:r w:rsidRPr="00432557">
        <w:t xml:space="preserve">The Talmud grew from sustained study of the Mishnah. Successive generations of rabbis asked what its rulings meant, how </w:t>
      </w:r>
      <w:r>
        <w:t>to reconcile apparently contradictory teachings, what biblical foundations supported them, and how to apply them</w:t>
      </w:r>
      <w:r w:rsidRPr="00432557">
        <w:t xml:space="preserve"> to further cases. They also brought in traditions omitted from the Mishnah, biblical interpretation, stories, ethical instruction, and other kinds of knowledge.</w:t>
      </w:r>
      <w:r w:rsidRPr="00432557">
        <w:t xml:space="preserve"> </w:t>
      </w:r>
    </w:p>
    <w:p w14:paraId="204037D8" w14:textId="77777777" w:rsidR="00432557" w:rsidRPr="00432557" w:rsidRDefault="00432557" w:rsidP="00432557">
      <w:r w:rsidRPr="00432557">
        <w:t>In conventional usage:</w:t>
      </w:r>
    </w:p>
    <w:p w14:paraId="5AAB2E70" w14:textId="77777777" w:rsidR="00432557" w:rsidRPr="00432557" w:rsidRDefault="00432557" w:rsidP="00432557">
      <w:pPr>
        <w:numPr>
          <w:ilvl w:val="0"/>
          <w:numId w:val="1"/>
        </w:numPr>
      </w:pPr>
      <w:r w:rsidRPr="00432557">
        <w:t xml:space="preserve">The </w:t>
      </w:r>
      <w:r w:rsidRPr="00432557">
        <w:rPr>
          <w:i/>
          <w:iCs/>
        </w:rPr>
        <w:t>Mishnah</w:t>
      </w:r>
      <w:r w:rsidRPr="00432557">
        <w:t xml:space="preserve"> is the earlier collection being studied.</w:t>
      </w:r>
    </w:p>
    <w:p w14:paraId="742157C6" w14:textId="77777777" w:rsidR="00432557" w:rsidRPr="00432557" w:rsidRDefault="00432557" w:rsidP="00432557">
      <w:pPr>
        <w:numPr>
          <w:ilvl w:val="0"/>
          <w:numId w:val="1"/>
        </w:numPr>
      </w:pPr>
      <w:r w:rsidRPr="00432557">
        <w:t xml:space="preserve">The </w:t>
      </w:r>
      <w:r w:rsidRPr="00432557">
        <w:rPr>
          <w:i/>
          <w:iCs/>
        </w:rPr>
        <w:t>Gemara</w:t>
      </w:r>
      <w:r w:rsidRPr="00432557">
        <w:t xml:space="preserve"> is the later discussion and analysis.</w:t>
      </w:r>
    </w:p>
    <w:p w14:paraId="3E314602" w14:textId="5B883CC9" w:rsidR="00432557" w:rsidRPr="00432557" w:rsidRDefault="00432557" w:rsidP="00432557">
      <w:pPr>
        <w:numPr>
          <w:ilvl w:val="0"/>
          <w:numId w:val="1"/>
        </w:numPr>
      </w:pPr>
      <w:r w:rsidRPr="00432557">
        <w:t xml:space="preserve">The </w:t>
      </w:r>
      <w:r w:rsidRPr="00432557">
        <w:rPr>
          <w:i/>
          <w:iCs/>
        </w:rPr>
        <w:t>Talmud</w:t>
      </w:r>
      <w:r w:rsidRPr="00432557">
        <w:t xml:space="preserve"> comprises the Mishnah </w:t>
      </w:r>
      <w:r>
        <w:t>and that discussion, although "Talmud" and "Gemara" are</w:t>
      </w:r>
      <w:r w:rsidRPr="00432557">
        <w:t xml:space="preserve"> sometimes used interchangeably.</w:t>
      </w:r>
      <w:r w:rsidRPr="00432557">
        <w:t xml:space="preserve"> </w:t>
      </w:r>
    </w:p>
    <w:p w14:paraId="035796F8" w14:textId="7DF3B706" w:rsidR="00432557" w:rsidRPr="00432557" w:rsidRDefault="00432557" w:rsidP="00432557">
      <w:r w:rsidRPr="00432557">
        <w:t xml:space="preserve">The Talmud is consequently much more than a law book. It combines </w:t>
      </w:r>
      <w:r w:rsidRPr="00432557">
        <w:rPr>
          <w:i/>
          <w:iCs/>
        </w:rPr>
        <w:t>halakhah</w:t>
      </w:r>
      <w:r>
        <w:t xml:space="preserve"> (legal teaching) with aggadah (narrative, ethical, theological, and other nonlegal material)</w:t>
      </w:r>
      <w:r w:rsidRPr="00432557">
        <w:t>. Its characteristic form is argumentative: an assertion prompts a question, an objection, a proposed distinction, a counterexample, or a revised explanation.</w:t>
      </w:r>
      <w:r w:rsidRPr="00432557">
        <w:t xml:space="preserve"> </w:t>
      </w:r>
    </w:p>
    <w:p w14:paraId="52474C35" w14:textId="77777777" w:rsidR="00432557" w:rsidRPr="00432557" w:rsidRDefault="00432557" w:rsidP="00432557">
      <w:pPr>
        <w:rPr>
          <w:b/>
          <w:bCs/>
        </w:rPr>
      </w:pPr>
      <w:r w:rsidRPr="00432557">
        <w:rPr>
          <w:b/>
          <w:bCs/>
        </w:rPr>
        <w:t>There were two Talmuds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2"/>
        <w:gridCol w:w="2131"/>
        <w:gridCol w:w="2998"/>
        <w:gridCol w:w="2559"/>
      </w:tblGrid>
      <w:tr w:rsidR="00432557" w:rsidRPr="00432557" w14:paraId="46063F38" w14:textId="77777777" w:rsidTr="00432557">
        <w:trPr>
          <w:tblHeader/>
          <w:tblCellSpacing w:w="15" w:type="dxa"/>
        </w:trPr>
        <w:tc>
          <w:tcPr>
            <w:tcW w:w="0" w:type="auto"/>
            <w:vAlign w:val="center"/>
            <w:hideMark/>
          </w:tcPr>
          <w:p w14:paraId="14437C3A" w14:textId="77777777" w:rsidR="00432557" w:rsidRPr="00432557" w:rsidRDefault="00432557" w:rsidP="00432557">
            <w:pPr>
              <w:rPr>
                <w:b/>
                <w:bCs/>
              </w:rPr>
            </w:pPr>
            <w:r w:rsidRPr="00432557">
              <w:rPr>
                <w:b/>
                <w:bCs/>
              </w:rPr>
              <w:t>Work</w:t>
            </w:r>
          </w:p>
        </w:tc>
        <w:tc>
          <w:tcPr>
            <w:tcW w:w="0" w:type="auto"/>
            <w:vAlign w:val="center"/>
            <w:hideMark/>
          </w:tcPr>
          <w:p w14:paraId="7C0170EB" w14:textId="77777777" w:rsidR="00432557" w:rsidRPr="00432557" w:rsidRDefault="00432557" w:rsidP="00432557">
            <w:pPr>
              <w:rPr>
                <w:b/>
                <w:bCs/>
              </w:rPr>
            </w:pPr>
            <w:r w:rsidRPr="00432557">
              <w:rPr>
                <w:b/>
                <w:bCs/>
              </w:rPr>
              <w:t>Where it developed</w:t>
            </w:r>
          </w:p>
        </w:tc>
        <w:tc>
          <w:tcPr>
            <w:tcW w:w="0" w:type="auto"/>
            <w:vAlign w:val="center"/>
            <w:hideMark/>
          </w:tcPr>
          <w:p w14:paraId="5E55DBE2" w14:textId="77777777" w:rsidR="00432557" w:rsidRPr="00432557" w:rsidRDefault="00432557" w:rsidP="00432557">
            <w:pPr>
              <w:rPr>
                <w:b/>
                <w:bCs/>
              </w:rPr>
            </w:pPr>
            <w:r w:rsidRPr="00432557">
              <w:rPr>
                <w:b/>
                <w:bCs/>
              </w:rPr>
              <w:t>Approximate formation</w:t>
            </w:r>
          </w:p>
        </w:tc>
        <w:tc>
          <w:tcPr>
            <w:tcW w:w="0" w:type="auto"/>
            <w:vAlign w:val="center"/>
            <w:hideMark/>
          </w:tcPr>
          <w:p w14:paraId="1EE15854" w14:textId="77777777" w:rsidR="00432557" w:rsidRPr="00432557" w:rsidRDefault="00432557" w:rsidP="00432557">
            <w:pPr>
              <w:rPr>
                <w:b/>
                <w:bCs/>
              </w:rPr>
            </w:pPr>
            <w:r w:rsidRPr="00432557">
              <w:rPr>
                <w:b/>
                <w:bCs/>
              </w:rPr>
              <w:t>Principal contributors</w:t>
            </w:r>
          </w:p>
        </w:tc>
      </w:tr>
      <w:tr w:rsidR="00432557" w:rsidRPr="00432557" w14:paraId="2B79E99E" w14:textId="77777777" w:rsidTr="00432557">
        <w:trPr>
          <w:tblCellSpacing w:w="15" w:type="dxa"/>
        </w:trPr>
        <w:tc>
          <w:tcPr>
            <w:tcW w:w="0" w:type="auto"/>
            <w:vAlign w:val="center"/>
            <w:hideMark/>
          </w:tcPr>
          <w:p w14:paraId="78B423BA" w14:textId="77777777" w:rsidR="00432557" w:rsidRPr="00432557" w:rsidRDefault="00432557" w:rsidP="00432557">
            <w:r w:rsidRPr="00432557">
              <w:t xml:space="preserve">Jerusalem Talmud, or </w:t>
            </w:r>
            <w:r w:rsidRPr="00432557">
              <w:rPr>
                <w:i/>
                <w:iCs/>
              </w:rPr>
              <w:t>Talmud Yerushalmi</w:t>
            </w:r>
          </w:p>
        </w:tc>
        <w:tc>
          <w:tcPr>
            <w:tcW w:w="0" w:type="auto"/>
            <w:vAlign w:val="center"/>
            <w:hideMark/>
          </w:tcPr>
          <w:p w14:paraId="31CB955A" w14:textId="77777777" w:rsidR="00432557" w:rsidRPr="00432557" w:rsidRDefault="00432557" w:rsidP="00432557">
            <w:r w:rsidRPr="00432557">
              <w:t>The Land of Israel, principally Galilee—not primarily Jerusalem</w:t>
            </w:r>
          </w:p>
        </w:tc>
        <w:tc>
          <w:tcPr>
            <w:tcW w:w="0" w:type="auto"/>
            <w:vAlign w:val="center"/>
            <w:hideMark/>
          </w:tcPr>
          <w:p w14:paraId="6A2D5E0E" w14:textId="77777777" w:rsidR="00432557" w:rsidRPr="00432557" w:rsidRDefault="00432557" w:rsidP="00432557">
            <w:r w:rsidRPr="00432557">
              <w:t>Third–early fifth centuries CE; substantial redaction around 400–425, with uncertainty over the precise endpoint</w:t>
            </w:r>
          </w:p>
        </w:tc>
        <w:tc>
          <w:tcPr>
            <w:tcW w:w="0" w:type="auto"/>
            <w:vAlign w:val="center"/>
            <w:hideMark/>
          </w:tcPr>
          <w:p w14:paraId="697E4069" w14:textId="77777777" w:rsidR="00432557" w:rsidRPr="00432557" w:rsidRDefault="00432557" w:rsidP="00432557">
            <w:r w:rsidRPr="00432557">
              <w:t xml:space="preserve">Generations of Palestinian rabbis known as </w:t>
            </w:r>
            <w:r w:rsidRPr="00432557">
              <w:rPr>
                <w:i/>
                <w:iCs/>
              </w:rPr>
              <w:t>amoraim</w:t>
            </w:r>
            <w:r w:rsidRPr="00432557">
              <w:t>, followed by compilers and editors</w:t>
            </w:r>
          </w:p>
        </w:tc>
      </w:tr>
      <w:tr w:rsidR="00432557" w:rsidRPr="00432557" w14:paraId="0A8302D5" w14:textId="77777777" w:rsidTr="00432557">
        <w:trPr>
          <w:tblCellSpacing w:w="15" w:type="dxa"/>
        </w:trPr>
        <w:tc>
          <w:tcPr>
            <w:tcW w:w="0" w:type="auto"/>
            <w:vAlign w:val="center"/>
            <w:hideMark/>
          </w:tcPr>
          <w:p w14:paraId="7F041455" w14:textId="77777777" w:rsidR="00432557" w:rsidRPr="00432557" w:rsidRDefault="00432557" w:rsidP="00432557">
            <w:r w:rsidRPr="00432557">
              <w:t xml:space="preserve">Babylonian Talmud, or </w:t>
            </w:r>
            <w:r w:rsidRPr="00432557">
              <w:rPr>
                <w:i/>
                <w:iCs/>
              </w:rPr>
              <w:t>Talmud Bavli</w:t>
            </w:r>
          </w:p>
        </w:tc>
        <w:tc>
          <w:tcPr>
            <w:tcW w:w="0" w:type="auto"/>
            <w:vAlign w:val="center"/>
            <w:hideMark/>
          </w:tcPr>
          <w:p w14:paraId="5A8CFB16" w14:textId="77777777" w:rsidR="00432557" w:rsidRPr="00432557" w:rsidRDefault="00432557" w:rsidP="00432557">
            <w:r w:rsidRPr="00432557">
              <w:t>Jewish communities of Sasanian Babylonia, in what is now Iraq</w:t>
            </w:r>
          </w:p>
        </w:tc>
        <w:tc>
          <w:tcPr>
            <w:tcW w:w="0" w:type="auto"/>
            <w:vAlign w:val="center"/>
            <w:hideMark/>
          </w:tcPr>
          <w:p w14:paraId="6D895EB8" w14:textId="77777777" w:rsidR="00432557" w:rsidRPr="00432557" w:rsidRDefault="00432557" w:rsidP="00432557">
            <w:r w:rsidRPr="00432557">
              <w:t>Third–sixth centuries CE, with continued editorial development possibly into the early seventh century</w:t>
            </w:r>
          </w:p>
        </w:tc>
        <w:tc>
          <w:tcPr>
            <w:tcW w:w="0" w:type="auto"/>
            <w:vAlign w:val="center"/>
            <w:hideMark/>
          </w:tcPr>
          <w:p w14:paraId="4A03AFFB" w14:textId="77777777" w:rsidR="00432557" w:rsidRPr="00432557" w:rsidRDefault="00432557" w:rsidP="00432557">
            <w:r w:rsidRPr="00432557">
              <w:t xml:space="preserve">Babylonian </w:t>
            </w:r>
            <w:r w:rsidRPr="00432557">
              <w:rPr>
                <w:i/>
                <w:iCs/>
              </w:rPr>
              <w:t>amoraim</w:t>
            </w:r>
            <w:r w:rsidRPr="00432557">
              <w:t xml:space="preserve"> and subsequent editors</w:t>
            </w:r>
          </w:p>
        </w:tc>
      </w:tr>
    </w:tbl>
    <w:p w14:paraId="5F106644" w14:textId="5E441547" w:rsidR="00432557" w:rsidRPr="00432557" w:rsidRDefault="00432557" w:rsidP="00432557">
      <w:r w:rsidRPr="00432557">
        <w:lastRenderedPageBreak/>
        <w:t xml:space="preserve">Neither Talmud supplies Gemara for every tractate of the Mishnah. Their selections, emphases, languages, and </w:t>
      </w:r>
      <w:r>
        <w:t>argumentative forms</w:t>
      </w:r>
      <w:r w:rsidRPr="00432557">
        <w:t xml:space="preserve"> differ. Both combine Hebrew with Aramaic, but their Aramaic reflects their different regional settings.</w:t>
      </w:r>
      <w:r w:rsidRPr="00432557">
        <w:t xml:space="preserve"> </w:t>
      </w:r>
    </w:p>
    <w:p w14:paraId="13302416" w14:textId="33057F54" w:rsidR="00432557" w:rsidRPr="00432557" w:rsidRDefault="00432557" w:rsidP="00432557">
      <w:pPr>
        <w:rPr>
          <w:b/>
          <w:bCs/>
        </w:rPr>
      </w:pPr>
      <w:r w:rsidRPr="00432557">
        <w:rPr>
          <w:b/>
          <w:bCs/>
        </w:rPr>
        <w:t xml:space="preserve">Who </w:t>
      </w:r>
      <w:r>
        <w:rPr>
          <w:b/>
          <w:bCs/>
        </w:rPr>
        <w:t>"</w:t>
      </w:r>
      <w:r w:rsidRPr="00432557">
        <w:rPr>
          <w:b/>
          <w:bCs/>
        </w:rPr>
        <w:t>wrote</w:t>
      </w:r>
      <w:r>
        <w:rPr>
          <w:b/>
          <w:bCs/>
        </w:rPr>
        <w:t>"</w:t>
      </w:r>
      <w:r w:rsidRPr="00432557">
        <w:rPr>
          <w:b/>
          <w:bCs/>
        </w:rPr>
        <w:t xml:space="preserve"> the Talmud?</w:t>
      </w:r>
    </w:p>
    <w:p w14:paraId="38E50A41" w14:textId="21743D3C" w:rsidR="00432557" w:rsidRPr="00432557" w:rsidRDefault="00432557" w:rsidP="00432557">
      <w:r w:rsidRPr="00432557">
        <w:t>No single person authored either Talmud</w:t>
      </w:r>
      <w:r>
        <w:t>—t</w:t>
      </w:r>
      <w:r w:rsidRPr="00432557">
        <w:t xml:space="preserve">he </w:t>
      </w:r>
      <w:r w:rsidRPr="00432557">
        <w:rPr>
          <w:i/>
          <w:iCs/>
        </w:rPr>
        <w:t>amoraim</w:t>
      </w:r>
      <w:r>
        <w:t xml:space="preserve">, the teachers who followed the tannaim, </w:t>
      </w:r>
      <w:r w:rsidRPr="00432557">
        <w:t>supplied generations of interpretations and discussions. Later editors collected and shaped that material into the literary discussions we now read.[</w:t>
      </w:r>
      <w:r w:rsidRPr="00432557">
        <w:t xml:space="preserve"> </w:t>
      </w:r>
    </w:p>
    <w:p w14:paraId="45C7242C" w14:textId="5211D3A9" w:rsidR="00432557" w:rsidRPr="00432557" w:rsidRDefault="00432557" w:rsidP="00432557">
      <w:r w:rsidRPr="00432557">
        <w:t xml:space="preserve">Tradition associates the formation of the Babylonian Talmud particularly with Rav Ashi and Ravina. </w:t>
      </w:r>
      <w:r>
        <w:t>However,</w:t>
      </w:r>
      <w:r w:rsidRPr="00432557">
        <w:t xml:space="preserve"> this should not be understood as two scholars sitting down to write the entire work. Its editorial history extend</w:t>
      </w:r>
      <w:r>
        <w:t>s beyond individual teachers, and its anonymous argumentative passages are especially important for understanding how earlier statements becam</w:t>
      </w:r>
      <w:r w:rsidRPr="00432557">
        <w:t xml:space="preserve">e finished discussions. </w:t>
      </w:r>
    </w:p>
    <w:p w14:paraId="03C38D8C" w14:textId="13678C26" w:rsidR="00432557" w:rsidRPr="00432557" w:rsidRDefault="00432557" w:rsidP="00432557">
      <w:r w:rsidRPr="00432557">
        <w:t>Nor should a Talmudic discussion be treated as a verbatim transcript of an actual meeting. Its literary form brings teachings from different generations into a single developing argument.</w:t>
      </w:r>
      <w:r w:rsidRPr="00432557">
        <w:t xml:space="preserve"> </w:t>
      </w:r>
    </w:p>
    <w:p w14:paraId="0019D402" w14:textId="77777777" w:rsidR="00432557" w:rsidRPr="00432557" w:rsidRDefault="00432557" w:rsidP="00432557">
      <w:pPr>
        <w:rPr>
          <w:b/>
          <w:bCs/>
        </w:rPr>
      </w:pPr>
      <w:r w:rsidRPr="00432557">
        <w:rPr>
          <w:b/>
          <w:bCs/>
        </w:rPr>
        <w:t>3. What was their relationship to the Torah?</w:t>
      </w:r>
    </w:p>
    <w:p w14:paraId="79E70147" w14:textId="2D894AF3" w:rsidR="00432557" w:rsidRPr="00432557" w:rsidRDefault="00432557" w:rsidP="00432557">
      <w:r w:rsidRPr="00432557">
        <w:t>In rabbinic understanding, the Written Torah and the Oral Torah belong together. The written commandments require explanation, application, and interpretation; the Oral Torah supplies the authoritative tradition through which that work proceeds. The Mishnah and Talmuds became central expressions of this Oral Torah, but they do not exhaust it.</w:t>
      </w:r>
      <w:r w:rsidRPr="00432557">
        <w:t xml:space="preserve"> </w:t>
      </w:r>
    </w:p>
    <w:p w14:paraId="2E28F59C" w14:textId="77777777" w:rsidR="00432557" w:rsidRPr="00432557" w:rsidRDefault="00432557" w:rsidP="00432557">
      <w:r w:rsidRPr="00432557">
        <w:t>Here it is useful to distinguish religious self-understanding from historical analysis:</w:t>
      </w:r>
    </w:p>
    <w:p w14:paraId="746329AD" w14:textId="77777777" w:rsidR="00432557" w:rsidRPr="00432557" w:rsidRDefault="00432557" w:rsidP="00432557">
      <w:pPr>
        <w:numPr>
          <w:ilvl w:val="0"/>
          <w:numId w:val="2"/>
        </w:numPr>
      </w:pPr>
      <w:r w:rsidRPr="00432557">
        <w:t>In rabbinic tradition, the authority of the Oral Torah ultimately rests on revelation and its transmission from Sinai.</w:t>
      </w:r>
    </w:p>
    <w:p w14:paraId="1B42C10B" w14:textId="3A7AD5DB" w:rsidR="00432557" w:rsidRPr="00432557" w:rsidRDefault="00432557" w:rsidP="00432557">
      <w:pPr>
        <w:numPr>
          <w:ilvl w:val="0"/>
          <w:numId w:val="2"/>
        </w:numPr>
      </w:pPr>
      <w:r w:rsidRPr="00432557">
        <w:t>Historians study how particular teachings, institutions, interpretive methods, and claims to authority developed in identifiable historical settings.</w:t>
      </w:r>
      <w:r w:rsidRPr="00432557">
        <w:t xml:space="preserve"> </w:t>
      </w:r>
    </w:p>
    <w:p w14:paraId="6AF48BC0" w14:textId="1614FDE0" w:rsidR="00432557" w:rsidRPr="00432557" w:rsidRDefault="00432557" w:rsidP="00432557">
      <w:r w:rsidRPr="00432557">
        <w:t>These perspectives address different questions. The historical dates of compilation do not, by themselves, establish the age of every tradition contained in the works; neither does a traditional attribution provide independent historical verification of a teaching</w:t>
      </w:r>
      <w:r>
        <w:t>'</w:t>
      </w:r>
      <w:r w:rsidRPr="00432557">
        <w:t>s antiquity. The surviving compilations incorporate material of different dates and kinds.</w:t>
      </w:r>
      <w:r w:rsidRPr="00432557">
        <w:t xml:space="preserve"> </w:t>
      </w:r>
    </w:p>
    <w:p w14:paraId="42A22CE7" w14:textId="77777777" w:rsidR="00432557" w:rsidRPr="00432557" w:rsidRDefault="00432557" w:rsidP="00432557">
      <w:pPr>
        <w:rPr>
          <w:b/>
          <w:bCs/>
        </w:rPr>
      </w:pPr>
      <w:r w:rsidRPr="00432557">
        <w:rPr>
          <w:b/>
          <w:bCs/>
        </w:rPr>
        <w:t>4. How did they transform Judaism and the Jewish people?</w:t>
      </w:r>
    </w:p>
    <w:p w14:paraId="62A15FF9" w14:textId="77777777" w:rsidR="00432557" w:rsidRPr="00432557" w:rsidRDefault="00432557" w:rsidP="00432557">
      <w:pPr>
        <w:rPr>
          <w:b/>
          <w:bCs/>
        </w:rPr>
      </w:pPr>
      <w:r w:rsidRPr="00432557">
        <w:rPr>
          <w:b/>
          <w:bCs/>
        </w:rPr>
        <w:t>They helped make Jewish religious life sustainable without the Temple</w:t>
      </w:r>
    </w:p>
    <w:p w14:paraId="63EBCD4A" w14:textId="2C1310B1" w:rsidR="00432557" w:rsidRPr="00432557" w:rsidRDefault="00432557" w:rsidP="00432557">
      <w:r w:rsidRPr="00432557">
        <w:t>The destruction of the Jerusalem Temple in 70 CE created a profound crisis. The Mishnah and Talmuds helped articulate a Jewish religious order that could operate through prayer, study, household observance, festivals, courts, and communal obligations even without a functioning sacrificial sanctuary.</w:t>
      </w:r>
      <w:r w:rsidRPr="00432557">
        <w:t xml:space="preserve"> </w:t>
      </w:r>
    </w:p>
    <w:p w14:paraId="682F770F" w14:textId="1C7F527A" w:rsidR="00432557" w:rsidRPr="00432557" w:rsidRDefault="00432557" w:rsidP="00432557">
      <w:r w:rsidRPr="00432557">
        <w:t xml:space="preserve">They did not invent all these practices, nor did Judaism change overnight in 70. Their contribution was to organize, elaborate, and transmit a framework </w:t>
      </w:r>
      <w:r>
        <w:t xml:space="preserve">that could sustain covenantal </w:t>
      </w:r>
      <w:r>
        <w:lastRenderedPageBreak/>
        <w:t>life through these practices</w:t>
      </w:r>
      <w:r w:rsidRPr="00432557">
        <w:t>. At the same time, their continued study of Temple law preserved the Temple as a central religious reference rather than simply discarding it.</w:t>
      </w:r>
      <w:r w:rsidRPr="00432557">
        <w:t xml:space="preserve"> </w:t>
      </w:r>
    </w:p>
    <w:p w14:paraId="7FF758DB" w14:textId="77777777" w:rsidR="00432557" w:rsidRPr="00432557" w:rsidRDefault="00432557" w:rsidP="00432557">
      <w:pPr>
        <w:rPr>
          <w:b/>
          <w:bCs/>
        </w:rPr>
      </w:pPr>
      <w:r w:rsidRPr="00432557">
        <w:rPr>
          <w:b/>
          <w:bCs/>
        </w:rPr>
        <w:t>They made learned interpretation a major basis of authority</w:t>
      </w:r>
    </w:p>
    <w:p w14:paraId="4F18C4AA" w14:textId="141D19E6" w:rsidR="00432557" w:rsidRPr="00432557" w:rsidRDefault="00432557" w:rsidP="00432557">
      <w:r w:rsidRPr="00432557">
        <w:t>The texts placed mastery of Torah and its interpretation at the center of religious leadership. Rabbinic authority rested substantially on learning: knowing inherited teachings, distinguishing cases, reasoning about law, and transmitting that expertise to students.</w:t>
      </w:r>
      <w:r w:rsidRPr="00432557">
        <w:t xml:space="preserve"> </w:t>
      </w:r>
    </w:p>
    <w:p w14:paraId="043D9862" w14:textId="23FF394F" w:rsidR="00432557" w:rsidRPr="00432557" w:rsidRDefault="00432557" w:rsidP="00432557">
      <w:r w:rsidRPr="00432557">
        <w:t>The Bible remained sacred. What changed was the increasingly decisive role of rabbinic interpretation in determining what its commandments meant in practice. Jewish law could no longer be understood simply by reading a biblical verse without reference to its accumulated interpretation.</w:t>
      </w:r>
      <w:r w:rsidRPr="00432557">
        <w:t xml:space="preserve"> </w:t>
      </w:r>
    </w:p>
    <w:p w14:paraId="4A0BAD49" w14:textId="11463EA7" w:rsidR="00432557" w:rsidRPr="00432557" w:rsidRDefault="00432557" w:rsidP="00432557">
      <w:pPr>
        <w:rPr>
          <w:b/>
          <w:bCs/>
        </w:rPr>
      </w:pPr>
      <w:r w:rsidRPr="00432557">
        <w:rPr>
          <w:b/>
          <w:bCs/>
        </w:rPr>
        <w:t>They provided a shared framework across dispersed communities</w:t>
      </w:r>
      <w:r>
        <w:rPr>
          <w:b/>
          <w:bCs/>
        </w:rPr>
        <w:t>.</w:t>
      </w:r>
    </w:p>
    <w:p w14:paraId="3D03A083" w14:textId="3BBB7C40" w:rsidR="00432557" w:rsidRPr="00432557" w:rsidRDefault="00432557" w:rsidP="00432557">
      <w:r w:rsidRPr="00432557">
        <w:t xml:space="preserve">A common body of legal and interpretive learning </w:t>
      </w:r>
      <w:r>
        <w:t>let geographically separated communities debate comparable questions in a shared</w:t>
      </w:r>
      <w:r w:rsidRPr="00432557">
        <w:t xml:space="preserve"> vocabulary. Over time, the Babylonian Talmud became the predominant reference point for rabbinic law and advanced study. Babylonian scholars and their successors helped carry that authority beyond its original geographical setting.</w:t>
      </w:r>
      <w:r w:rsidRPr="00432557">
        <w:t xml:space="preserve"> </w:t>
      </w:r>
    </w:p>
    <w:p w14:paraId="4F319702" w14:textId="735D3E96" w:rsidR="00432557" w:rsidRPr="00432557" w:rsidRDefault="00432557" w:rsidP="00432557">
      <w:r w:rsidRPr="00432557">
        <w:t>This predominance was a historical achievement, not an automatic consequence of the book</w:t>
      </w:r>
      <w:r>
        <w:t>'</w:t>
      </w:r>
      <w:r w:rsidRPr="00432557">
        <w:t xml:space="preserve">s completion. The </w:t>
      </w:r>
      <w:r>
        <w:t>Talmud's composition</w:t>
      </w:r>
      <w:r w:rsidRPr="00432557">
        <w:t xml:space="preserve"> and its later acceptance as an authoritative foundation were distinct processes.</w:t>
      </w:r>
      <w:r w:rsidRPr="00432557">
        <w:t xml:space="preserve"> </w:t>
      </w:r>
    </w:p>
    <w:p w14:paraId="3C7B0443" w14:textId="77777777" w:rsidR="00432557" w:rsidRPr="00432557" w:rsidRDefault="00432557" w:rsidP="00432557">
      <w:pPr>
        <w:rPr>
          <w:b/>
          <w:bCs/>
        </w:rPr>
      </w:pPr>
      <w:r w:rsidRPr="00432557">
        <w:rPr>
          <w:b/>
          <w:bCs/>
        </w:rPr>
        <w:t>They combined continuity with mechanisms for adaptation</w:t>
      </w:r>
    </w:p>
    <w:p w14:paraId="565F64B1" w14:textId="403A0E8A" w:rsidR="00432557" w:rsidRPr="00432557" w:rsidRDefault="00432557" w:rsidP="00432557">
      <w:r w:rsidRPr="00432557">
        <w:t>The Talmud preserved inherited rulings while also mode</w:t>
      </w:r>
      <w:r>
        <w:t>l</w:t>
      </w:r>
      <w:r w:rsidRPr="00432557">
        <w:t>ling how to reason about circumstances not explicitly covered by them. Its distinctions, analogies, competing interpretations, and discussions of precedent gave later scholars resources for addressing new questions.</w:t>
      </w:r>
      <w:r w:rsidRPr="00432557">
        <w:t xml:space="preserve"> </w:t>
      </w:r>
    </w:p>
    <w:p w14:paraId="24A6B8CA" w14:textId="6DD84A3D" w:rsidR="00432557" w:rsidRPr="00432557" w:rsidRDefault="00432557" w:rsidP="00432557">
      <w:r w:rsidRPr="00432557">
        <w:t xml:space="preserve">This did not mean unrestricted flexibility. Arguments had to operate within an authoritative tradition. </w:t>
      </w:r>
      <w:r>
        <w:t>However,</w:t>
      </w:r>
      <w:r w:rsidRPr="00432557">
        <w:t xml:space="preserve"> it </w:t>
      </w:r>
      <w:r>
        <w:t>also meant that preservation and interpretation became mutually dependent: fidelity required ongoing intellectual work, not mere</w:t>
      </w:r>
      <w:r w:rsidRPr="00432557">
        <w:t xml:space="preserve"> repetition.</w:t>
      </w:r>
      <w:r w:rsidRPr="00432557">
        <w:t xml:space="preserve"> </w:t>
      </w:r>
    </w:p>
    <w:p w14:paraId="2B0BD2BC" w14:textId="77777777" w:rsidR="00432557" w:rsidRPr="00432557" w:rsidRDefault="00432557" w:rsidP="00432557">
      <w:pPr>
        <w:rPr>
          <w:b/>
          <w:bCs/>
        </w:rPr>
      </w:pPr>
      <w:r w:rsidRPr="00432557">
        <w:rPr>
          <w:b/>
          <w:bCs/>
        </w:rPr>
        <w:t>They made disagreement part of the inherited tradition</w:t>
      </w:r>
    </w:p>
    <w:p w14:paraId="7FA0365B" w14:textId="610D3DAF" w:rsidR="00432557" w:rsidRPr="00432557" w:rsidRDefault="00432557" w:rsidP="00432557">
      <w:r w:rsidRPr="00432557">
        <w:t>Both the Mishnah and Talmud preserve dissenting positions. Their readers encounter not only conclusions but also rejected arguments and alternative ways of framing a problem. Later authorities still had to determine which positions governed practice, but disagreement itself remained part of the sacred curriculum.</w:t>
      </w:r>
      <w:r w:rsidRPr="00432557">
        <w:t xml:space="preserve"> </w:t>
      </w:r>
    </w:p>
    <w:p w14:paraId="40524CE0" w14:textId="7CECD064" w:rsidR="00432557" w:rsidRPr="00432557" w:rsidRDefault="00432557" w:rsidP="00432557">
      <w:r w:rsidRPr="00432557">
        <w:t>That structure helped make intensive study an enduring religious activity in its own right. One studied not merely to retrieve a rule, but to understand the reasoning, assumptions, and relationships behind it.</w:t>
      </w:r>
      <w:r w:rsidRPr="00432557">
        <w:t xml:space="preserve"> </w:t>
      </w:r>
    </w:p>
    <w:p w14:paraId="305C051E" w14:textId="24039958" w:rsidR="00432557" w:rsidRPr="00432557" w:rsidRDefault="00432557" w:rsidP="00432557">
      <w:pPr>
        <w:rPr>
          <w:b/>
          <w:bCs/>
        </w:rPr>
      </w:pPr>
      <w:r w:rsidRPr="00432557">
        <w:rPr>
          <w:b/>
          <w:bCs/>
        </w:rPr>
        <w:t>They shaped later Jewish institutions and scholarship</w:t>
      </w:r>
      <w:r>
        <w:rPr>
          <w:b/>
          <w:bCs/>
        </w:rPr>
        <w:t>.</w:t>
      </w:r>
    </w:p>
    <w:p w14:paraId="553D1E46" w14:textId="0C3D8E99" w:rsidR="00432557" w:rsidRPr="00432557" w:rsidRDefault="00432557" w:rsidP="00432557">
      <w:r w:rsidRPr="00432557">
        <w:t xml:space="preserve">Medieval commentaries, legal codes, and subsequent rabbinic discussion developed in continuing engagement with the Talmud. Rashi and the Tosafists helped establish influential </w:t>
      </w:r>
      <w:r w:rsidRPr="00432557">
        <w:lastRenderedPageBreak/>
        <w:t>ways of reading it; authorities such as Isaac Alfasi and Maimonides extracted and systematized legal conclusions from the broader tradition. In later Ashkenazi settings, including Poland and Lithuania, advanced Talmudic learning became central to rabbinic education and scholarly prestige.</w:t>
      </w:r>
      <w:r w:rsidRPr="00432557">
        <w:t xml:space="preserve"> </w:t>
      </w:r>
    </w:p>
    <w:p w14:paraId="24BF3D1F" w14:textId="77777777" w:rsidR="00432557" w:rsidRPr="00432557" w:rsidRDefault="00432557" w:rsidP="00432557">
      <w:pPr>
        <w:rPr>
          <w:b/>
          <w:bCs/>
        </w:rPr>
      </w:pPr>
      <w:r w:rsidRPr="00432557">
        <w:rPr>
          <w:b/>
          <w:bCs/>
        </w:rPr>
        <w:t>5. A necessary limit to the story</w:t>
      </w:r>
    </w:p>
    <w:p w14:paraId="579891FF" w14:textId="4FE7554B" w:rsidR="00432557" w:rsidRPr="00432557" w:rsidRDefault="00432557" w:rsidP="00432557">
      <w:r w:rsidRPr="00432557">
        <w:t xml:space="preserve">It would be misleading to say that these texts immediately transformed every Jew into a follower of a uniform rabbinic system. Their authority spread gradually, local practices persisted, and not all Jewish communities accepted rabbinic claims in the same way. </w:t>
      </w:r>
      <w:r>
        <w:t>We should not project their eventual centrality</w:t>
      </w:r>
      <w:r w:rsidRPr="00432557">
        <w:t xml:space="preserve"> backward onto the entire Jewish population of late antiquity.</w:t>
      </w:r>
      <w:r w:rsidRPr="00432557">
        <w:t xml:space="preserve"> </w:t>
      </w:r>
    </w:p>
    <w:p w14:paraId="1325C545" w14:textId="7FDD6ACD" w:rsidR="00432557" w:rsidRPr="00432557" w:rsidRDefault="00432557" w:rsidP="00432557">
      <w:r w:rsidRPr="00432557">
        <w:t xml:space="preserve">Their deepest historical significance lies in the relationship they established between inheritance and interpretation: the Mishnah organized a body of ancestral teaching; the Talmuds made the sustained examination of that teaching a foundation for future Jewish life. They helped turn the preservation, debate, and application of Torah into institutions </w:t>
      </w:r>
      <w:r>
        <w:t>that could endure</w:t>
      </w:r>
      <w:r w:rsidRPr="00432557">
        <w:t xml:space="preserve"> across changing political regimes and widely separated communities.</w:t>
      </w:r>
      <w:r w:rsidRPr="00432557">
        <w:t xml:space="preserve"> </w:t>
      </w:r>
    </w:p>
    <w:p w14:paraId="32075FAC" w14:textId="77777777" w:rsidR="008F00C1" w:rsidRDefault="008F00C1"/>
    <w:sectPr w:rsidR="008F00C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23C9F8" w14:textId="77777777" w:rsidR="00414A05" w:rsidRDefault="00414A05" w:rsidP="00432557">
      <w:pPr>
        <w:spacing w:after="0" w:line="240" w:lineRule="auto"/>
      </w:pPr>
      <w:r>
        <w:separator/>
      </w:r>
    </w:p>
  </w:endnote>
  <w:endnote w:type="continuationSeparator" w:id="0">
    <w:p w14:paraId="35933BC1" w14:textId="77777777" w:rsidR="00414A05" w:rsidRDefault="00414A05" w:rsidP="00432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BD44C" w14:textId="77777777" w:rsidR="00432557" w:rsidRDefault="004325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ED31A" w14:textId="77777777" w:rsidR="00432557" w:rsidRDefault="004325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88497" w14:textId="77777777" w:rsidR="00432557" w:rsidRDefault="00432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D5B76" w14:textId="77777777" w:rsidR="00414A05" w:rsidRDefault="00414A05" w:rsidP="00432557">
      <w:pPr>
        <w:spacing w:after="0" w:line="240" w:lineRule="auto"/>
      </w:pPr>
      <w:r>
        <w:separator/>
      </w:r>
    </w:p>
  </w:footnote>
  <w:footnote w:type="continuationSeparator" w:id="0">
    <w:p w14:paraId="2D6E181F" w14:textId="77777777" w:rsidR="00414A05" w:rsidRDefault="00414A05" w:rsidP="00432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50F52" w14:textId="77777777" w:rsidR="00432557" w:rsidRDefault="004325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3858378"/>
      <w:docPartObj>
        <w:docPartGallery w:val="Page Numbers (Top of Page)"/>
        <w:docPartUnique/>
      </w:docPartObj>
    </w:sdtPr>
    <w:sdtEndPr>
      <w:rPr>
        <w:noProof/>
      </w:rPr>
    </w:sdtEndPr>
    <w:sdtContent>
      <w:p w14:paraId="5A5387CB" w14:textId="328AEB73" w:rsidR="00432557" w:rsidRDefault="0043255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7884DB" w14:textId="77777777" w:rsidR="00432557" w:rsidRDefault="004325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8F8DCE" w14:textId="77777777" w:rsidR="00432557" w:rsidRDefault="00432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027067"/>
    <w:multiLevelType w:val="multilevel"/>
    <w:tmpl w:val="D29A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DF7545"/>
    <w:multiLevelType w:val="multilevel"/>
    <w:tmpl w:val="58F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344492">
    <w:abstractNumId w:val="0"/>
  </w:num>
  <w:num w:numId="2" w16cid:durableId="2040469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M0MDczNja0NDQzNbZU0lEKTi0uzszPAykwrAUAkqceziwAAAA="/>
  </w:docVars>
  <w:rsids>
    <w:rsidRoot w:val="00432557"/>
    <w:rsid w:val="00414A05"/>
    <w:rsid w:val="00432557"/>
    <w:rsid w:val="005A6A7C"/>
    <w:rsid w:val="008F00C1"/>
    <w:rsid w:val="00A92B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8C96"/>
  <w15:chartTrackingRefBased/>
  <w15:docId w15:val="{30F10142-B686-4283-908B-372A098DB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B73"/>
    <w:rPr>
      <w:rFonts w:ascii="Times New Roman" w:hAnsi="Times New Roman"/>
      <w:sz w:val="24"/>
    </w:rPr>
  </w:style>
  <w:style w:type="paragraph" w:styleId="Heading1">
    <w:name w:val="heading 1"/>
    <w:basedOn w:val="Normal"/>
    <w:next w:val="Normal"/>
    <w:link w:val="Heading1Char"/>
    <w:uiPriority w:val="9"/>
    <w:qFormat/>
    <w:rsid w:val="004325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5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55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55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3255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325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255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255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255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5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5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5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557"/>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432557"/>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43255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3255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3255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32557"/>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325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5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55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5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557"/>
    <w:pPr>
      <w:spacing w:before="160"/>
      <w:jc w:val="center"/>
    </w:pPr>
    <w:rPr>
      <w:i/>
      <w:iCs/>
      <w:color w:val="404040" w:themeColor="text1" w:themeTint="BF"/>
    </w:rPr>
  </w:style>
  <w:style w:type="character" w:customStyle="1" w:styleId="QuoteChar">
    <w:name w:val="Quote Char"/>
    <w:basedOn w:val="DefaultParagraphFont"/>
    <w:link w:val="Quote"/>
    <w:uiPriority w:val="29"/>
    <w:rsid w:val="00432557"/>
    <w:rPr>
      <w:rFonts w:ascii="Times New Roman" w:hAnsi="Times New Roman"/>
      <w:i/>
      <w:iCs/>
      <w:color w:val="404040" w:themeColor="text1" w:themeTint="BF"/>
      <w:sz w:val="24"/>
    </w:rPr>
  </w:style>
  <w:style w:type="paragraph" w:styleId="ListParagraph">
    <w:name w:val="List Paragraph"/>
    <w:basedOn w:val="Normal"/>
    <w:uiPriority w:val="34"/>
    <w:qFormat/>
    <w:rsid w:val="00432557"/>
    <w:pPr>
      <w:ind w:left="720"/>
      <w:contextualSpacing/>
    </w:pPr>
  </w:style>
  <w:style w:type="character" w:styleId="IntenseEmphasis">
    <w:name w:val="Intense Emphasis"/>
    <w:basedOn w:val="DefaultParagraphFont"/>
    <w:uiPriority w:val="21"/>
    <w:qFormat/>
    <w:rsid w:val="00432557"/>
    <w:rPr>
      <w:i/>
      <w:iCs/>
      <w:color w:val="0F4761" w:themeColor="accent1" w:themeShade="BF"/>
    </w:rPr>
  </w:style>
  <w:style w:type="paragraph" w:styleId="IntenseQuote">
    <w:name w:val="Intense Quote"/>
    <w:basedOn w:val="Normal"/>
    <w:next w:val="Normal"/>
    <w:link w:val="IntenseQuoteChar"/>
    <w:uiPriority w:val="30"/>
    <w:qFormat/>
    <w:rsid w:val="004325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557"/>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432557"/>
    <w:rPr>
      <w:b/>
      <w:bCs/>
      <w:smallCaps/>
      <w:color w:val="0F4761" w:themeColor="accent1" w:themeShade="BF"/>
      <w:spacing w:val="5"/>
    </w:rPr>
  </w:style>
  <w:style w:type="character" w:styleId="Hyperlink">
    <w:name w:val="Hyperlink"/>
    <w:basedOn w:val="DefaultParagraphFont"/>
    <w:uiPriority w:val="99"/>
    <w:unhideWhenUsed/>
    <w:rsid w:val="00432557"/>
    <w:rPr>
      <w:color w:val="467886" w:themeColor="hyperlink"/>
      <w:u w:val="single"/>
    </w:rPr>
  </w:style>
  <w:style w:type="character" w:styleId="UnresolvedMention">
    <w:name w:val="Unresolved Mention"/>
    <w:basedOn w:val="DefaultParagraphFont"/>
    <w:uiPriority w:val="99"/>
    <w:semiHidden/>
    <w:unhideWhenUsed/>
    <w:rsid w:val="00432557"/>
    <w:rPr>
      <w:color w:val="605E5C"/>
      <w:shd w:val="clear" w:color="auto" w:fill="E1DFDD"/>
    </w:rPr>
  </w:style>
  <w:style w:type="paragraph" w:styleId="Header">
    <w:name w:val="header"/>
    <w:basedOn w:val="Normal"/>
    <w:link w:val="HeaderChar"/>
    <w:uiPriority w:val="99"/>
    <w:unhideWhenUsed/>
    <w:rsid w:val="00432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557"/>
    <w:rPr>
      <w:rFonts w:ascii="Times New Roman" w:hAnsi="Times New Roman"/>
      <w:sz w:val="24"/>
    </w:rPr>
  </w:style>
  <w:style w:type="paragraph" w:styleId="Footer">
    <w:name w:val="footer"/>
    <w:basedOn w:val="Normal"/>
    <w:link w:val="FooterChar"/>
    <w:uiPriority w:val="99"/>
    <w:unhideWhenUsed/>
    <w:rsid w:val="00432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55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678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1726</Words>
  <Characters>9841</Characters>
  <Application>Microsoft Office Word</Application>
  <DocSecurity>0</DocSecurity>
  <Lines>82</Lines>
  <Paragraphs>23</Paragraphs>
  <ScaleCrop>false</ScaleCrop>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Goodman</dc:creator>
  <cp:keywords/>
  <dc:description/>
  <cp:lastModifiedBy>Mark Goodman</cp:lastModifiedBy>
  <cp:revision>1</cp:revision>
  <dcterms:created xsi:type="dcterms:W3CDTF">2026-10-19T18:20:00Z</dcterms:created>
  <dcterms:modified xsi:type="dcterms:W3CDTF">2026-10-19T18:34:00Z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0ab92b06-94eb-435a-a114-38f90bd19f6d</vt:lpwstr>
  </property>
</Properties>
</file>