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76A63B" w14:textId="6BDBC75A" w:rsidR="008F00C1" w:rsidRDefault="00E80177">
      <w:pPr>
        <w:rPr>
          <w:b/>
          <w:bCs/>
          <w:sz w:val="32"/>
          <w:szCs w:val="32"/>
        </w:rPr>
      </w:pPr>
      <w:r w:rsidRPr="00E80177">
        <w:rPr>
          <w:b/>
          <w:bCs/>
          <w:sz w:val="32"/>
          <w:szCs w:val="32"/>
        </w:rPr>
        <w:t>The Jews in the Near East</w:t>
      </w:r>
      <w:r>
        <w:rPr>
          <w:b/>
          <w:bCs/>
          <w:sz w:val="32"/>
          <w:szCs w:val="32"/>
        </w:rPr>
        <w:t xml:space="preserve"> – Chronology and Overview</w:t>
      </w:r>
    </w:p>
    <w:p w14:paraId="67BC5DD8" w14:textId="77777777" w:rsidR="00E80177" w:rsidRDefault="00E80177">
      <w:pPr>
        <w:rPr>
          <w:b/>
          <w:bCs/>
          <w:sz w:val="32"/>
          <w:szCs w:val="32"/>
        </w:rPr>
      </w:pPr>
    </w:p>
    <w:p w14:paraId="18723938" w14:textId="5388688B" w:rsidR="00E80177" w:rsidRDefault="00E80177">
      <w:pPr>
        <w:rPr>
          <w:szCs w:val="24"/>
        </w:rPr>
      </w:pPr>
      <w:r>
        <w:rPr>
          <w:b/>
          <w:bCs/>
          <w:sz w:val="28"/>
          <w:szCs w:val="28"/>
        </w:rPr>
        <w:t>Chronology</w:t>
      </w:r>
    </w:p>
    <w:p w14:paraId="134B546D" w14:textId="77777777" w:rsidR="00E80177" w:rsidRDefault="00E80177">
      <w:pPr>
        <w:rPr>
          <w:szCs w:val="24"/>
        </w:rPr>
      </w:pPr>
    </w:p>
    <w:p w14:paraId="5EF3F56E" w14:textId="77777777" w:rsidR="00E80177" w:rsidRPr="00E80177" w:rsidRDefault="00E80177" w:rsidP="00E80177">
      <w:pPr>
        <w:rPr>
          <w:b/>
          <w:bCs/>
          <w:szCs w:val="24"/>
        </w:rPr>
      </w:pPr>
      <w:r w:rsidRPr="00E80177">
        <w:rPr>
          <w:b/>
          <w:bCs/>
          <w:szCs w:val="24"/>
        </w:rPr>
        <w:t>Babylonian Exile and Persian Period</w:t>
      </w:r>
    </w:p>
    <w:p w14:paraId="501B6509" w14:textId="68EE75E0" w:rsidR="00E80177" w:rsidRPr="00E80177" w:rsidRDefault="00E80177" w:rsidP="00E80177">
      <w:pPr>
        <w:numPr>
          <w:ilvl w:val="0"/>
          <w:numId w:val="1"/>
        </w:numPr>
        <w:rPr>
          <w:szCs w:val="24"/>
        </w:rPr>
      </w:pPr>
      <w:r w:rsidRPr="00E80177">
        <w:rPr>
          <w:b/>
          <w:bCs/>
          <w:szCs w:val="24"/>
        </w:rPr>
        <w:t>597 BCE</w:t>
      </w:r>
      <w:r w:rsidRPr="00E80177">
        <w:rPr>
          <w:szCs w:val="24"/>
        </w:rPr>
        <w:t>: Nebuchadnezzar II deports part of Judah</w:t>
      </w:r>
      <w:r w:rsidR="00025B7A">
        <w:rPr>
          <w:szCs w:val="24"/>
        </w:rPr>
        <w:t>'</w:t>
      </w:r>
      <w:r w:rsidRPr="00E80177">
        <w:rPr>
          <w:szCs w:val="24"/>
        </w:rPr>
        <w:t>s elite to Babylonia.</w:t>
      </w:r>
    </w:p>
    <w:p w14:paraId="45FFEF93" w14:textId="148E96F7" w:rsidR="00E80177" w:rsidRPr="00E80177" w:rsidRDefault="00E80177" w:rsidP="00E80177">
      <w:pPr>
        <w:numPr>
          <w:ilvl w:val="0"/>
          <w:numId w:val="1"/>
        </w:numPr>
        <w:rPr>
          <w:szCs w:val="24"/>
        </w:rPr>
      </w:pPr>
      <w:r w:rsidRPr="00E80177">
        <w:rPr>
          <w:b/>
          <w:bCs/>
          <w:szCs w:val="24"/>
        </w:rPr>
        <w:t>586 BCE</w:t>
      </w:r>
      <w:r w:rsidRPr="00E80177">
        <w:rPr>
          <w:szCs w:val="24"/>
        </w:rPr>
        <w:t>: Jerusalem and the First Temple are destroyed, and more deportations follow. In exile, worship without a temple takes shape: fixed prayer, public fasts and Torah study.</w:t>
      </w:r>
      <w:r w:rsidRPr="00E80177">
        <w:rPr>
          <w:szCs w:val="24"/>
        </w:rPr>
        <w:t xml:space="preserve"> </w:t>
      </w:r>
    </w:p>
    <w:p w14:paraId="0696A410" w14:textId="253F7285" w:rsidR="00E80177" w:rsidRPr="00E80177" w:rsidRDefault="00E80177" w:rsidP="00E80177">
      <w:pPr>
        <w:numPr>
          <w:ilvl w:val="0"/>
          <w:numId w:val="1"/>
        </w:numPr>
        <w:rPr>
          <w:szCs w:val="24"/>
        </w:rPr>
      </w:pPr>
      <w:r w:rsidRPr="00E80177">
        <w:rPr>
          <w:b/>
          <w:bCs/>
          <w:szCs w:val="24"/>
        </w:rPr>
        <w:t>539 BCE</w:t>
      </w:r>
      <w:r w:rsidRPr="00E80177">
        <w:rPr>
          <w:szCs w:val="24"/>
        </w:rPr>
        <w:t xml:space="preserve">: Cyrus the Great conquers Babylon and </w:t>
      </w:r>
      <w:r w:rsidR="00025B7A">
        <w:rPr>
          <w:szCs w:val="24"/>
        </w:rPr>
        <w:t>allows the exiles to</w:t>
      </w:r>
      <w:r w:rsidRPr="00E80177">
        <w:rPr>
          <w:szCs w:val="24"/>
        </w:rPr>
        <w:t xml:space="preserve"> return. Many choose to stay in Mesopotamia.</w:t>
      </w:r>
    </w:p>
    <w:p w14:paraId="5C209C21" w14:textId="77777777" w:rsidR="00E80177" w:rsidRPr="00E80177" w:rsidRDefault="00E80177" w:rsidP="00E80177">
      <w:pPr>
        <w:numPr>
          <w:ilvl w:val="0"/>
          <w:numId w:val="1"/>
        </w:numPr>
        <w:rPr>
          <w:szCs w:val="24"/>
        </w:rPr>
      </w:pPr>
      <w:r w:rsidRPr="00E80177">
        <w:rPr>
          <w:b/>
          <w:bCs/>
          <w:szCs w:val="24"/>
        </w:rPr>
        <w:t>c. 515 BCE</w:t>
      </w:r>
      <w:r w:rsidRPr="00E80177">
        <w:rPr>
          <w:szCs w:val="24"/>
        </w:rPr>
        <w:t>: The Second Temple is completed.</w:t>
      </w:r>
    </w:p>
    <w:p w14:paraId="6A127F2B" w14:textId="77777777" w:rsidR="00E80177" w:rsidRPr="00E80177" w:rsidRDefault="00E80177" w:rsidP="00E80177">
      <w:pPr>
        <w:numPr>
          <w:ilvl w:val="0"/>
          <w:numId w:val="1"/>
        </w:numPr>
        <w:rPr>
          <w:szCs w:val="24"/>
        </w:rPr>
      </w:pPr>
      <w:r w:rsidRPr="00E80177">
        <w:rPr>
          <w:b/>
          <w:bCs/>
          <w:szCs w:val="24"/>
        </w:rPr>
        <w:t>5th century BCE</w:t>
      </w:r>
      <w:r w:rsidRPr="00E80177">
        <w:rPr>
          <w:szCs w:val="24"/>
        </w:rPr>
        <w:t>: The Elephantine colony is active in Egypt.</w:t>
      </w:r>
    </w:p>
    <w:p w14:paraId="62A58503" w14:textId="77777777" w:rsidR="00E80177" w:rsidRPr="00E80177" w:rsidRDefault="00E80177" w:rsidP="00E80177">
      <w:pPr>
        <w:numPr>
          <w:ilvl w:val="0"/>
          <w:numId w:val="1"/>
        </w:numPr>
        <w:rPr>
          <w:szCs w:val="24"/>
        </w:rPr>
      </w:pPr>
      <w:r w:rsidRPr="00E80177">
        <w:rPr>
          <w:b/>
          <w:bCs/>
          <w:szCs w:val="24"/>
        </w:rPr>
        <w:t>mid-5th century BCE</w:t>
      </w:r>
      <w:r w:rsidRPr="00E80177">
        <w:rPr>
          <w:szCs w:val="24"/>
        </w:rPr>
        <w:t>: Ezra and Nehemiah make the Torah the basis of community life in Yehud.</w:t>
      </w:r>
    </w:p>
    <w:p w14:paraId="02ECAF9E" w14:textId="77777777" w:rsidR="00E80177" w:rsidRPr="00E80177" w:rsidRDefault="00E80177" w:rsidP="00E80177">
      <w:pPr>
        <w:rPr>
          <w:b/>
          <w:bCs/>
          <w:szCs w:val="24"/>
        </w:rPr>
      </w:pPr>
      <w:r w:rsidRPr="00E80177">
        <w:rPr>
          <w:b/>
          <w:bCs/>
          <w:szCs w:val="24"/>
        </w:rPr>
        <w:t>Hellenistic and Roman Periods</w:t>
      </w:r>
    </w:p>
    <w:p w14:paraId="4D19E69D" w14:textId="77777777" w:rsidR="00E80177" w:rsidRPr="00E80177" w:rsidRDefault="00E80177" w:rsidP="00E80177">
      <w:pPr>
        <w:numPr>
          <w:ilvl w:val="0"/>
          <w:numId w:val="2"/>
        </w:numPr>
        <w:rPr>
          <w:szCs w:val="24"/>
        </w:rPr>
      </w:pPr>
      <w:r w:rsidRPr="00E80177">
        <w:rPr>
          <w:b/>
          <w:bCs/>
          <w:szCs w:val="24"/>
        </w:rPr>
        <w:t>332 BCE</w:t>
      </w:r>
      <w:r w:rsidRPr="00E80177">
        <w:rPr>
          <w:szCs w:val="24"/>
        </w:rPr>
        <w:t>: Alexander conquers the region. Judea comes under Ptolemaic rule, then Seleucid rule from 198 BCE.</w:t>
      </w:r>
    </w:p>
    <w:p w14:paraId="75B0E0F0" w14:textId="77777777" w:rsidR="00E80177" w:rsidRPr="00E80177" w:rsidRDefault="00E80177" w:rsidP="00E80177">
      <w:pPr>
        <w:numPr>
          <w:ilvl w:val="0"/>
          <w:numId w:val="2"/>
        </w:numPr>
        <w:rPr>
          <w:szCs w:val="24"/>
        </w:rPr>
      </w:pPr>
      <w:r w:rsidRPr="00E80177">
        <w:rPr>
          <w:b/>
          <w:bCs/>
          <w:szCs w:val="24"/>
        </w:rPr>
        <w:t>3rd–2nd century BCE</w:t>
      </w:r>
      <w:r w:rsidRPr="00E80177">
        <w:rPr>
          <w:szCs w:val="24"/>
        </w:rPr>
        <w:t>: The Septuagint is produced in Alexandria.</w:t>
      </w:r>
    </w:p>
    <w:p w14:paraId="1DB2481B" w14:textId="77777777" w:rsidR="00E80177" w:rsidRPr="00E80177" w:rsidRDefault="00E80177" w:rsidP="00E80177">
      <w:pPr>
        <w:numPr>
          <w:ilvl w:val="0"/>
          <w:numId w:val="2"/>
        </w:numPr>
        <w:rPr>
          <w:szCs w:val="24"/>
        </w:rPr>
      </w:pPr>
      <w:r w:rsidRPr="00E80177">
        <w:rPr>
          <w:b/>
          <w:bCs/>
          <w:szCs w:val="24"/>
        </w:rPr>
        <w:t>167–164 BCE</w:t>
      </w:r>
      <w:r w:rsidRPr="00E80177">
        <w:rPr>
          <w:szCs w:val="24"/>
        </w:rPr>
        <w:t>: The Maccabean revolt against Antiochus IV leads to the Hasmonean state.</w:t>
      </w:r>
    </w:p>
    <w:p w14:paraId="5B850375" w14:textId="77777777" w:rsidR="00E80177" w:rsidRPr="00E80177" w:rsidRDefault="00E80177" w:rsidP="00E80177">
      <w:pPr>
        <w:numPr>
          <w:ilvl w:val="0"/>
          <w:numId w:val="2"/>
        </w:numPr>
        <w:rPr>
          <w:szCs w:val="24"/>
        </w:rPr>
      </w:pPr>
      <w:r w:rsidRPr="00E80177">
        <w:rPr>
          <w:b/>
          <w:bCs/>
          <w:szCs w:val="24"/>
        </w:rPr>
        <w:t>63 BCE</w:t>
      </w:r>
      <w:r w:rsidRPr="00E80177">
        <w:rPr>
          <w:szCs w:val="24"/>
        </w:rPr>
        <w:t>: Pompey brings Judea under Roman control.</w:t>
      </w:r>
    </w:p>
    <w:p w14:paraId="18E27C91" w14:textId="77777777" w:rsidR="00E80177" w:rsidRPr="00E80177" w:rsidRDefault="00E80177" w:rsidP="00E80177">
      <w:pPr>
        <w:numPr>
          <w:ilvl w:val="0"/>
          <w:numId w:val="2"/>
        </w:numPr>
        <w:rPr>
          <w:szCs w:val="24"/>
        </w:rPr>
      </w:pPr>
      <w:r w:rsidRPr="00E80177">
        <w:rPr>
          <w:b/>
          <w:bCs/>
          <w:szCs w:val="24"/>
        </w:rPr>
        <w:t>37–4 BCE</w:t>
      </w:r>
      <w:r w:rsidRPr="00E80177">
        <w:rPr>
          <w:szCs w:val="24"/>
        </w:rPr>
        <w:t>: Herod the Great reigns.</w:t>
      </w:r>
    </w:p>
    <w:p w14:paraId="43D19114" w14:textId="77777777" w:rsidR="00E80177" w:rsidRPr="00E80177" w:rsidRDefault="00E80177" w:rsidP="00E80177">
      <w:pPr>
        <w:numPr>
          <w:ilvl w:val="0"/>
          <w:numId w:val="2"/>
        </w:numPr>
        <w:rPr>
          <w:szCs w:val="24"/>
        </w:rPr>
      </w:pPr>
      <w:r w:rsidRPr="00E80177">
        <w:rPr>
          <w:b/>
          <w:bCs/>
          <w:szCs w:val="24"/>
        </w:rPr>
        <w:t>66–70 CE</w:t>
      </w:r>
      <w:r w:rsidRPr="00E80177">
        <w:rPr>
          <w:szCs w:val="24"/>
        </w:rPr>
        <w:t>: The Great Revolt ends with the destruction of the Second Temple. The Yavneh academy follows.</w:t>
      </w:r>
    </w:p>
    <w:p w14:paraId="59B79444" w14:textId="77777777" w:rsidR="00E80177" w:rsidRPr="00E80177" w:rsidRDefault="00E80177" w:rsidP="00E80177">
      <w:pPr>
        <w:numPr>
          <w:ilvl w:val="0"/>
          <w:numId w:val="2"/>
        </w:numPr>
        <w:rPr>
          <w:szCs w:val="24"/>
        </w:rPr>
      </w:pPr>
      <w:r w:rsidRPr="00E80177">
        <w:rPr>
          <w:b/>
          <w:bCs/>
          <w:szCs w:val="24"/>
        </w:rPr>
        <w:t>115–117</w:t>
      </w:r>
      <w:r w:rsidRPr="00E80177">
        <w:rPr>
          <w:szCs w:val="24"/>
        </w:rPr>
        <w:t>: The Diaspora revolts wipe out the communities of Egypt, Cyrene and Cyprus.</w:t>
      </w:r>
    </w:p>
    <w:p w14:paraId="72BFD309" w14:textId="77777777" w:rsidR="00E80177" w:rsidRPr="00E80177" w:rsidRDefault="00E80177" w:rsidP="00E80177">
      <w:pPr>
        <w:numPr>
          <w:ilvl w:val="0"/>
          <w:numId w:val="2"/>
        </w:numPr>
        <w:rPr>
          <w:szCs w:val="24"/>
        </w:rPr>
      </w:pPr>
      <w:r w:rsidRPr="00E80177">
        <w:rPr>
          <w:b/>
          <w:bCs/>
          <w:szCs w:val="24"/>
        </w:rPr>
        <w:t>132–135</w:t>
      </w:r>
      <w:r w:rsidRPr="00E80177">
        <w:rPr>
          <w:szCs w:val="24"/>
        </w:rPr>
        <w:t>: The Bar Kokhba revolt fails, and Jews are banned from Jerusalem.</w:t>
      </w:r>
    </w:p>
    <w:p w14:paraId="440FF469" w14:textId="77777777" w:rsidR="00E80177" w:rsidRPr="00E80177" w:rsidRDefault="00E80177" w:rsidP="00E80177">
      <w:pPr>
        <w:numPr>
          <w:ilvl w:val="0"/>
          <w:numId w:val="2"/>
        </w:numPr>
        <w:rPr>
          <w:szCs w:val="24"/>
        </w:rPr>
      </w:pPr>
      <w:r w:rsidRPr="00E80177">
        <w:rPr>
          <w:b/>
          <w:bCs/>
          <w:szCs w:val="24"/>
        </w:rPr>
        <w:t>c. 200</w:t>
      </w:r>
      <w:r w:rsidRPr="00E80177">
        <w:rPr>
          <w:szCs w:val="24"/>
        </w:rPr>
        <w:t>: Judah ha-Nasi edits the Mishnah.</w:t>
      </w:r>
    </w:p>
    <w:p w14:paraId="3320289A" w14:textId="77777777" w:rsidR="00E80177" w:rsidRPr="00E80177" w:rsidRDefault="00E80177" w:rsidP="00E80177">
      <w:pPr>
        <w:rPr>
          <w:b/>
          <w:bCs/>
          <w:szCs w:val="24"/>
        </w:rPr>
      </w:pPr>
      <w:r w:rsidRPr="00E80177">
        <w:rPr>
          <w:b/>
          <w:bCs/>
          <w:szCs w:val="24"/>
        </w:rPr>
        <w:t>Late Antiquity</w:t>
      </w:r>
    </w:p>
    <w:p w14:paraId="73C26838" w14:textId="5278E42D" w:rsidR="00E80177" w:rsidRPr="00E80177" w:rsidRDefault="00E80177" w:rsidP="00E80177">
      <w:pPr>
        <w:numPr>
          <w:ilvl w:val="0"/>
          <w:numId w:val="3"/>
        </w:numPr>
        <w:rPr>
          <w:szCs w:val="24"/>
        </w:rPr>
      </w:pPr>
      <w:r w:rsidRPr="00E80177">
        <w:rPr>
          <w:b/>
          <w:bCs/>
          <w:szCs w:val="24"/>
        </w:rPr>
        <w:lastRenderedPageBreak/>
        <w:t xml:space="preserve">3rd </w:t>
      </w:r>
      <w:r w:rsidR="00025B7A">
        <w:rPr>
          <w:b/>
          <w:bCs/>
          <w:szCs w:val="24"/>
        </w:rPr>
        <w:t>C</w:t>
      </w:r>
      <w:r w:rsidRPr="00E80177">
        <w:rPr>
          <w:b/>
          <w:bCs/>
          <w:szCs w:val="24"/>
        </w:rPr>
        <w:t>entury</w:t>
      </w:r>
      <w:r w:rsidRPr="00E80177">
        <w:rPr>
          <w:szCs w:val="24"/>
        </w:rPr>
        <w:t>: The Sasanians take Babylonia. The exilarchate and the academies at Sura, Nehardea and Pumbedita flourish.</w:t>
      </w:r>
      <w:r w:rsidR="009201ED">
        <w:rPr>
          <w:rStyle w:val="FootnoteReference"/>
          <w:szCs w:val="24"/>
        </w:rPr>
        <w:footnoteReference w:id="1"/>
      </w:r>
    </w:p>
    <w:p w14:paraId="0425291A" w14:textId="79C17F6C" w:rsidR="00E80177" w:rsidRPr="00E80177" w:rsidRDefault="00E80177" w:rsidP="00E80177">
      <w:pPr>
        <w:numPr>
          <w:ilvl w:val="0"/>
          <w:numId w:val="3"/>
        </w:numPr>
        <w:rPr>
          <w:szCs w:val="24"/>
        </w:rPr>
      </w:pPr>
      <w:r w:rsidRPr="00E80177">
        <w:rPr>
          <w:b/>
          <w:bCs/>
          <w:szCs w:val="24"/>
        </w:rPr>
        <w:t xml:space="preserve">4th </w:t>
      </w:r>
      <w:r w:rsidR="00025B7A">
        <w:rPr>
          <w:b/>
          <w:bCs/>
          <w:szCs w:val="24"/>
        </w:rPr>
        <w:t>C</w:t>
      </w:r>
      <w:r w:rsidRPr="00E80177">
        <w:rPr>
          <w:b/>
          <w:bCs/>
          <w:szCs w:val="24"/>
        </w:rPr>
        <w:t>entury</w:t>
      </w:r>
      <w:r w:rsidRPr="00E80177">
        <w:rPr>
          <w:szCs w:val="24"/>
        </w:rPr>
        <w:t>: Christianisation brings growing legal restrictions on Jews in Byzantine Palestine.</w:t>
      </w:r>
    </w:p>
    <w:p w14:paraId="20A68E8F" w14:textId="77777777" w:rsidR="00E80177" w:rsidRPr="00E80177" w:rsidRDefault="00E80177" w:rsidP="00E80177">
      <w:pPr>
        <w:numPr>
          <w:ilvl w:val="0"/>
          <w:numId w:val="3"/>
        </w:numPr>
        <w:rPr>
          <w:szCs w:val="24"/>
        </w:rPr>
      </w:pPr>
      <w:r w:rsidRPr="00E80177">
        <w:rPr>
          <w:b/>
          <w:bCs/>
          <w:szCs w:val="24"/>
        </w:rPr>
        <w:t>c. 400</w:t>
      </w:r>
      <w:r w:rsidRPr="00E80177">
        <w:rPr>
          <w:szCs w:val="24"/>
        </w:rPr>
        <w:t>: The Jerusalem Talmud is completed.</w:t>
      </w:r>
    </w:p>
    <w:p w14:paraId="30B7BBB2" w14:textId="281B6A72" w:rsidR="00E80177" w:rsidRPr="00E80177" w:rsidRDefault="00E80177" w:rsidP="00E80177">
      <w:pPr>
        <w:numPr>
          <w:ilvl w:val="0"/>
          <w:numId w:val="3"/>
        </w:numPr>
        <w:rPr>
          <w:szCs w:val="24"/>
        </w:rPr>
      </w:pPr>
      <w:r w:rsidRPr="00E80177">
        <w:rPr>
          <w:b/>
          <w:bCs/>
          <w:szCs w:val="24"/>
        </w:rPr>
        <w:t>c. 500–600</w:t>
      </w:r>
      <w:r w:rsidRPr="00E80177">
        <w:rPr>
          <w:szCs w:val="24"/>
        </w:rPr>
        <w:t xml:space="preserve">: The Babylonian Talmud reaches its final form, with editing by the </w:t>
      </w:r>
      <w:r w:rsidR="009201ED">
        <w:rPr>
          <w:szCs w:val="24"/>
        </w:rPr>
        <w:t>S</w:t>
      </w:r>
      <w:r w:rsidRPr="00E80177">
        <w:rPr>
          <w:szCs w:val="24"/>
        </w:rPr>
        <w:t>avoraim.</w:t>
      </w:r>
    </w:p>
    <w:p w14:paraId="13A87AE7" w14:textId="18C85482" w:rsidR="00E80177" w:rsidRPr="00E80177" w:rsidRDefault="00E80177" w:rsidP="00E80177">
      <w:pPr>
        <w:numPr>
          <w:ilvl w:val="0"/>
          <w:numId w:val="3"/>
        </w:numPr>
        <w:rPr>
          <w:szCs w:val="24"/>
        </w:rPr>
      </w:pPr>
      <w:r w:rsidRPr="00E80177">
        <w:rPr>
          <w:b/>
          <w:bCs/>
          <w:szCs w:val="24"/>
        </w:rPr>
        <w:t>589</w:t>
      </w:r>
      <w:r w:rsidRPr="00E80177">
        <w:rPr>
          <w:szCs w:val="24"/>
        </w:rPr>
        <w:t xml:space="preserve">: The </w:t>
      </w:r>
      <w:r w:rsidR="009201ED">
        <w:rPr>
          <w:szCs w:val="24"/>
        </w:rPr>
        <w:t>G</w:t>
      </w:r>
      <w:r w:rsidRPr="00E80177">
        <w:rPr>
          <w:szCs w:val="24"/>
        </w:rPr>
        <w:t>eonic era begins.</w:t>
      </w:r>
      <w:r w:rsidR="009201ED" w:rsidRPr="00E80177">
        <w:rPr>
          <w:szCs w:val="24"/>
        </w:rPr>
        <w:t xml:space="preserve"> </w:t>
      </w:r>
    </w:p>
    <w:p w14:paraId="417F9E39" w14:textId="77777777" w:rsidR="00E80177" w:rsidRPr="00E80177" w:rsidRDefault="00E80177" w:rsidP="00E80177">
      <w:pPr>
        <w:rPr>
          <w:b/>
          <w:bCs/>
          <w:szCs w:val="24"/>
        </w:rPr>
      </w:pPr>
      <w:r w:rsidRPr="00E80177">
        <w:rPr>
          <w:b/>
          <w:bCs/>
          <w:szCs w:val="24"/>
        </w:rPr>
        <w:t>Early Islamic Period</w:t>
      </w:r>
    </w:p>
    <w:p w14:paraId="57E5D449" w14:textId="77777777" w:rsidR="00E80177" w:rsidRPr="00E80177" w:rsidRDefault="00E80177" w:rsidP="00E80177">
      <w:pPr>
        <w:numPr>
          <w:ilvl w:val="0"/>
          <w:numId w:val="4"/>
        </w:numPr>
        <w:rPr>
          <w:szCs w:val="24"/>
        </w:rPr>
      </w:pPr>
      <w:r w:rsidRPr="00E80177">
        <w:rPr>
          <w:b/>
          <w:bCs/>
          <w:szCs w:val="24"/>
        </w:rPr>
        <w:t>630s–640s</w:t>
      </w:r>
      <w:r w:rsidRPr="00E80177">
        <w:rPr>
          <w:szCs w:val="24"/>
        </w:rPr>
        <w:t>: The Arab conquests place most Near Eastern Jews under dhimmi status.</w:t>
      </w:r>
    </w:p>
    <w:p w14:paraId="270DDDB8" w14:textId="1DA0261D" w:rsidR="00E80177" w:rsidRPr="00E80177" w:rsidRDefault="00E80177" w:rsidP="00E80177">
      <w:pPr>
        <w:numPr>
          <w:ilvl w:val="0"/>
          <w:numId w:val="4"/>
        </w:numPr>
        <w:rPr>
          <w:szCs w:val="24"/>
        </w:rPr>
      </w:pPr>
      <w:r w:rsidRPr="00E80177">
        <w:rPr>
          <w:b/>
          <w:bCs/>
          <w:szCs w:val="24"/>
        </w:rPr>
        <w:t>760–763</w:t>
      </w:r>
      <w:r w:rsidRPr="00E80177">
        <w:rPr>
          <w:szCs w:val="24"/>
        </w:rPr>
        <w:t>: Yehudai Gaon pushes Babylonian practice over Palestinian practice.</w:t>
      </w:r>
      <w:r w:rsidR="009201ED" w:rsidRPr="00E80177">
        <w:rPr>
          <w:szCs w:val="24"/>
        </w:rPr>
        <w:t xml:space="preserve"> </w:t>
      </w:r>
    </w:p>
    <w:p w14:paraId="59FFB695" w14:textId="53BAF544" w:rsidR="00E80177" w:rsidRPr="00E80177" w:rsidRDefault="00E80177" w:rsidP="00E80177">
      <w:pPr>
        <w:numPr>
          <w:ilvl w:val="0"/>
          <w:numId w:val="4"/>
        </w:numPr>
        <w:rPr>
          <w:szCs w:val="24"/>
        </w:rPr>
      </w:pPr>
      <w:r w:rsidRPr="00E80177">
        <w:rPr>
          <w:b/>
          <w:bCs/>
          <w:szCs w:val="24"/>
        </w:rPr>
        <w:t>8th–9th centuries</w:t>
      </w:r>
      <w:r w:rsidRPr="00E80177">
        <w:rPr>
          <w:szCs w:val="24"/>
        </w:rPr>
        <w:t>: Karai</w:t>
      </w:r>
      <w:r w:rsidR="009201ED">
        <w:rPr>
          <w:szCs w:val="24"/>
        </w:rPr>
        <w:t>ti</w:t>
      </w:r>
      <w:r w:rsidRPr="00E80177">
        <w:rPr>
          <w:szCs w:val="24"/>
        </w:rPr>
        <w:t>sm emerges.</w:t>
      </w:r>
    </w:p>
    <w:p w14:paraId="420C4AB2" w14:textId="77777777" w:rsidR="00E80177" w:rsidRPr="00E80177" w:rsidRDefault="00E80177" w:rsidP="00E80177">
      <w:pPr>
        <w:numPr>
          <w:ilvl w:val="0"/>
          <w:numId w:val="4"/>
        </w:numPr>
        <w:rPr>
          <w:szCs w:val="24"/>
        </w:rPr>
      </w:pPr>
      <w:r w:rsidRPr="00E80177">
        <w:rPr>
          <w:b/>
          <w:bCs/>
          <w:szCs w:val="24"/>
        </w:rPr>
        <w:t>942</w:t>
      </w:r>
      <w:r w:rsidRPr="00E80177">
        <w:rPr>
          <w:szCs w:val="24"/>
        </w:rPr>
        <w:t>: Saadia Gaon dies, after founding Judeo-Arabic philosophy and exegesis.</w:t>
      </w:r>
    </w:p>
    <w:p w14:paraId="6C9A5CF6" w14:textId="77777777" w:rsidR="00E80177" w:rsidRPr="00E80177" w:rsidRDefault="00E80177" w:rsidP="00E80177">
      <w:pPr>
        <w:numPr>
          <w:ilvl w:val="0"/>
          <w:numId w:val="4"/>
        </w:numPr>
        <w:rPr>
          <w:szCs w:val="24"/>
        </w:rPr>
      </w:pPr>
      <w:r w:rsidRPr="00E80177">
        <w:rPr>
          <w:b/>
          <w:bCs/>
          <w:szCs w:val="24"/>
        </w:rPr>
        <w:t>969 onward</w:t>
      </w:r>
      <w:r w:rsidRPr="00E80177">
        <w:rPr>
          <w:szCs w:val="24"/>
        </w:rPr>
        <w:t>: Fatimid Egypt becomes a major centre, documented in the Cairo Geniza.</w:t>
      </w:r>
    </w:p>
    <w:p w14:paraId="78ED4273" w14:textId="5EF9AEB3" w:rsidR="00E80177" w:rsidRPr="00E80177" w:rsidRDefault="00E80177" w:rsidP="00E80177">
      <w:pPr>
        <w:numPr>
          <w:ilvl w:val="0"/>
          <w:numId w:val="4"/>
        </w:numPr>
        <w:rPr>
          <w:szCs w:val="24"/>
        </w:rPr>
      </w:pPr>
      <w:r w:rsidRPr="00E80177">
        <w:rPr>
          <w:b/>
          <w:bCs/>
          <w:szCs w:val="24"/>
        </w:rPr>
        <w:t>1038</w:t>
      </w:r>
      <w:r w:rsidRPr="00E80177">
        <w:rPr>
          <w:szCs w:val="24"/>
        </w:rPr>
        <w:t>: Hai Gaon dies, and the geonic era ends.</w:t>
      </w:r>
      <w:r w:rsidR="009201ED" w:rsidRPr="00E80177">
        <w:rPr>
          <w:szCs w:val="24"/>
        </w:rPr>
        <w:t xml:space="preserve"> </w:t>
      </w:r>
    </w:p>
    <w:p w14:paraId="411B23FF" w14:textId="1A7A1FA1" w:rsidR="00E80177" w:rsidRPr="00E80177" w:rsidRDefault="00E80177" w:rsidP="00E80177">
      <w:pPr>
        <w:numPr>
          <w:ilvl w:val="0"/>
          <w:numId w:val="4"/>
        </w:numPr>
        <w:rPr>
          <w:szCs w:val="24"/>
        </w:rPr>
      </w:pPr>
      <w:r w:rsidRPr="00E80177">
        <w:rPr>
          <w:b/>
          <w:bCs/>
          <w:szCs w:val="24"/>
        </w:rPr>
        <w:t>1099</w:t>
      </w:r>
      <w:r w:rsidRPr="00E80177">
        <w:rPr>
          <w:szCs w:val="24"/>
        </w:rPr>
        <w:t>: The Crusaders massacre Jerusalem</w:t>
      </w:r>
      <w:r w:rsidR="00025B7A">
        <w:rPr>
          <w:szCs w:val="24"/>
        </w:rPr>
        <w:t>'</w:t>
      </w:r>
      <w:r w:rsidRPr="00E80177">
        <w:rPr>
          <w:szCs w:val="24"/>
        </w:rPr>
        <w:t>s Jews.</w:t>
      </w:r>
    </w:p>
    <w:p w14:paraId="4940CEF8" w14:textId="77777777" w:rsidR="00E80177" w:rsidRPr="00E80177" w:rsidRDefault="00E80177" w:rsidP="00E80177">
      <w:pPr>
        <w:numPr>
          <w:ilvl w:val="0"/>
          <w:numId w:val="4"/>
        </w:numPr>
        <w:rPr>
          <w:szCs w:val="24"/>
        </w:rPr>
      </w:pPr>
      <w:r w:rsidRPr="00E80177">
        <w:rPr>
          <w:b/>
          <w:bCs/>
          <w:szCs w:val="24"/>
        </w:rPr>
        <w:t>1168–1204</w:t>
      </w:r>
      <w:r w:rsidRPr="00E80177">
        <w:rPr>
          <w:szCs w:val="24"/>
        </w:rPr>
        <w:t>: Maimonides is active in Fustat.</w:t>
      </w:r>
    </w:p>
    <w:p w14:paraId="5650D80F" w14:textId="77777777" w:rsidR="00E80177" w:rsidRPr="00E80177" w:rsidRDefault="00E80177" w:rsidP="00E80177">
      <w:pPr>
        <w:numPr>
          <w:ilvl w:val="0"/>
          <w:numId w:val="4"/>
        </w:numPr>
        <w:rPr>
          <w:szCs w:val="24"/>
        </w:rPr>
      </w:pPr>
      <w:r w:rsidRPr="00E80177">
        <w:rPr>
          <w:b/>
          <w:bCs/>
          <w:szCs w:val="24"/>
        </w:rPr>
        <w:t>1258</w:t>
      </w:r>
      <w:r w:rsidRPr="00E80177">
        <w:rPr>
          <w:szCs w:val="24"/>
        </w:rPr>
        <w:t>: The Mongols sack Baghdad, ending Babylonian primacy.</w:t>
      </w:r>
    </w:p>
    <w:p w14:paraId="767D9ABA" w14:textId="77777777" w:rsidR="00E80177" w:rsidRPr="00E80177" w:rsidRDefault="00E80177" w:rsidP="00E80177">
      <w:pPr>
        <w:rPr>
          <w:b/>
          <w:bCs/>
          <w:szCs w:val="24"/>
        </w:rPr>
      </w:pPr>
      <w:r w:rsidRPr="00E80177">
        <w:rPr>
          <w:b/>
          <w:bCs/>
          <w:szCs w:val="24"/>
        </w:rPr>
        <w:t>Mamluk and Ottoman Eras</w:t>
      </w:r>
    </w:p>
    <w:p w14:paraId="4BA5C542" w14:textId="77777777" w:rsidR="00E80177" w:rsidRPr="00E80177" w:rsidRDefault="00E80177" w:rsidP="00E80177">
      <w:pPr>
        <w:numPr>
          <w:ilvl w:val="0"/>
          <w:numId w:val="5"/>
        </w:numPr>
        <w:rPr>
          <w:szCs w:val="24"/>
        </w:rPr>
      </w:pPr>
      <w:r w:rsidRPr="00E80177">
        <w:rPr>
          <w:b/>
          <w:bCs/>
          <w:szCs w:val="24"/>
        </w:rPr>
        <w:t>1250–1517</w:t>
      </w:r>
      <w:r w:rsidRPr="00E80177">
        <w:rPr>
          <w:szCs w:val="24"/>
        </w:rPr>
        <w:t>: Under the Mamluks, communities in Egypt, Syria and Palestine are restricted.</w:t>
      </w:r>
    </w:p>
    <w:p w14:paraId="318D6033" w14:textId="77777777" w:rsidR="00E80177" w:rsidRPr="00E80177" w:rsidRDefault="00E80177" w:rsidP="00E80177">
      <w:pPr>
        <w:numPr>
          <w:ilvl w:val="0"/>
          <w:numId w:val="5"/>
        </w:numPr>
        <w:rPr>
          <w:szCs w:val="24"/>
        </w:rPr>
      </w:pPr>
      <w:r w:rsidRPr="00E80177">
        <w:rPr>
          <w:b/>
          <w:bCs/>
          <w:szCs w:val="24"/>
        </w:rPr>
        <w:t>1453</w:t>
      </w:r>
      <w:r w:rsidRPr="00E80177">
        <w:rPr>
          <w:szCs w:val="24"/>
        </w:rPr>
        <w:t>: The Ottomans take Constantinople.</w:t>
      </w:r>
    </w:p>
    <w:p w14:paraId="17B05B99" w14:textId="77777777" w:rsidR="00E80177" w:rsidRPr="00E80177" w:rsidRDefault="00E80177" w:rsidP="00E80177">
      <w:pPr>
        <w:numPr>
          <w:ilvl w:val="0"/>
          <w:numId w:val="5"/>
        </w:numPr>
        <w:rPr>
          <w:szCs w:val="24"/>
        </w:rPr>
      </w:pPr>
      <w:r w:rsidRPr="00E80177">
        <w:rPr>
          <w:b/>
          <w:bCs/>
          <w:szCs w:val="24"/>
        </w:rPr>
        <w:t>1492–1497</w:t>
      </w:r>
      <w:r w:rsidRPr="00E80177">
        <w:rPr>
          <w:szCs w:val="24"/>
        </w:rPr>
        <w:t>: Sephardim expelled from Spain and Portugal settle across the Ottoman Empire.</w:t>
      </w:r>
    </w:p>
    <w:p w14:paraId="63B6B29A" w14:textId="77777777" w:rsidR="00E80177" w:rsidRPr="00E80177" w:rsidRDefault="00E80177" w:rsidP="00E80177">
      <w:pPr>
        <w:numPr>
          <w:ilvl w:val="0"/>
          <w:numId w:val="5"/>
        </w:numPr>
        <w:rPr>
          <w:szCs w:val="24"/>
        </w:rPr>
      </w:pPr>
      <w:r w:rsidRPr="00E80177">
        <w:rPr>
          <w:b/>
          <w:bCs/>
          <w:szCs w:val="24"/>
        </w:rPr>
        <w:t>1516–1517</w:t>
      </w:r>
      <w:r w:rsidRPr="00E80177">
        <w:rPr>
          <w:szCs w:val="24"/>
        </w:rPr>
        <w:t>: The Ottomans conquer Syria, Palestine and Egypt.</w:t>
      </w:r>
    </w:p>
    <w:p w14:paraId="72EEBCB9" w14:textId="02A6F389" w:rsidR="00E80177" w:rsidRPr="00E80177" w:rsidRDefault="00E80177" w:rsidP="00E80177">
      <w:pPr>
        <w:numPr>
          <w:ilvl w:val="0"/>
          <w:numId w:val="5"/>
        </w:numPr>
        <w:rPr>
          <w:szCs w:val="24"/>
        </w:rPr>
      </w:pPr>
      <w:r w:rsidRPr="00E80177">
        <w:rPr>
          <w:b/>
          <w:bCs/>
          <w:szCs w:val="24"/>
        </w:rPr>
        <w:lastRenderedPageBreak/>
        <w:t>1565</w:t>
      </w:r>
      <w:r w:rsidRPr="00E80177">
        <w:rPr>
          <w:szCs w:val="24"/>
        </w:rPr>
        <w:t>: Joseph Karo</w:t>
      </w:r>
      <w:r w:rsidR="00025B7A">
        <w:rPr>
          <w:szCs w:val="24"/>
        </w:rPr>
        <w:t>'</w:t>
      </w:r>
      <w:r w:rsidRPr="00E80177">
        <w:rPr>
          <w:szCs w:val="24"/>
        </w:rPr>
        <w:t>s Shulhan Arukh is printed.</w:t>
      </w:r>
    </w:p>
    <w:p w14:paraId="4BCAEBEF" w14:textId="77777777" w:rsidR="00E80177" w:rsidRPr="00E80177" w:rsidRDefault="00E80177" w:rsidP="00E80177">
      <w:pPr>
        <w:numPr>
          <w:ilvl w:val="0"/>
          <w:numId w:val="5"/>
        </w:numPr>
        <w:rPr>
          <w:szCs w:val="24"/>
        </w:rPr>
      </w:pPr>
      <w:r w:rsidRPr="00E80177">
        <w:rPr>
          <w:b/>
          <w:bCs/>
          <w:szCs w:val="24"/>
        </w:rPr>
        <w:t>1569–1572</w:t>
      </w:r>
      <w:r w:rsidRPr="00E80177">
        <w:rPr>
          <w:szCs w:val="24"/>
        </w:rPr>
        <w:t>: Isaac Luria teaches in Safed.</w:t>
      </w:r>
    </w:p>
    <w:p w14:paraId="42CA0ADD" w14:textId="77777777" w:rsidR="00E80177" w:rsidRPr="00E80177" w:rsidRDefault="00E80177" w:rsidP="00E80177">
      <w:pPr>
        <w:numPr>
          <w:ilvl w:val="0"/>
          <w:numId w:val="5"/>
        </w:numPr>
        <w:rPr>
          <w:szCs w:val="24"/>
        </w:rPr>
      </w:pPr>
      <w:r w:rsidRPr="00E80177">
        <w:rPr>
          <w:b/>
          <w:bCs/>
          <w:szCs w:val="24"/>
        </w:rPr>
        <w:t>1665–1666</w:t>
      </w:r>
      <w:r w:rsidRPr="00E80177">
        <w:rPr>
          <w:szCs w:val="24"/>
        </w:rPr>
        <w:t>: The Sabbatean movement peaks, and Sabbetai Zevi converts to Islam.</w:t>
      </w:r>
    </w:p>
    <w:p w14:paraId="5C0F8E5C" w14:textId="08F3563A" w:rsidR="00E80177" w:rsidRPr="00E80177" w:rsidRDefault="00E80177" w:rsidP="00E80177">
      <w:pPr>
        <w:numPr>
          <w:ilvl w:val="0"/>
          <w:numId w:val="5"/>
        </w:numPr>
        <w:rPr>
          <w:szCs w:val="24"/>
        </w:rPr>
      </w:pPr>
      <w:r w:rsidRPr="00E80177">
        <w:rPr>
          <w:b/>
          <w:bCs/>
          <w:szCs w:val="24"/>
        </w:rPr>
        <w:t>1839–1876</w:t>
      </w:r>
      <w:r w:rsidRPr="00E80177">
        <w:rPr>
          <w:szCs w:val="24"/>
        </w:rPr>
        <w:t xml:space="preserve">: The </w:t>
      </w:r>
      <w:r w:rsidR="009201ED">
        <w:rPr>
          <w:szCs w:val="24"/>
        </w:rPr>
        <w:t>Ottoman Empire</w:t>
      </w:r>
      <w:r w:rsidR="00025B7A">
        <w:rPr>
          <w:szCs w:val="24"/>
        </w:rPr>
        <w:t>'</w:t>
      </w:r>
      <w:r w:rsidR="009201ED">
        <w:rPr>
          <w:szCs w:val="24"/>
        </w:rPr>
        <w:t xml:space="preserve">s Tanzimat reforms </w:t>
      </w:r>
      <w:r w:rsidRPr="00E80177">
        <w:rPr>
          <w:szCs w:val="24"/>
        </w:rPr>
        <w:t>grant non-Muslims legal equality.</w:t>
      </w:r>
    </w:p>
    <w:p w14:paraId="5BD5439A" w14:textId="77777777" w:rsidR="00E80177" w:rsidRPr="00E80177" w:rsidRDefault="00E80177" w:rsidP="00E80177">
      <w:pPr>
        <w:numPr>
          <w:ilvl w:val="0"/>
          <w:numId w:val="5"/>
        </w:numPr>
        <w:rPr>
          <w:szCs w:val="24"/>
        </w:rPr>
      </w:pPr>
      <w:r w:rsidRPr="00E80177">
        <w:rPr>
          <w:b/>
          <w:bCs/>
          <w:szCs w:val="24"/>
        </w:rPr>
        <w:t>1840</w:t>
      </w:r>
      <w:r w:rsidRPr="00E80177">
        <w:rPr>
          <w:szCs w:val="24"/>
        </w:rPr>
        <w:t>: The Damascus blood libel.</w:t>
      </w:r>
    </w:p>
    <w:p w14:paraId="1F8F3F2B" w14:textId="26C5593F" w:rsidR="00E80177" w:rsidRPr="00E80177" w:rsidRDefault="00E80177" w:rsidP="00E80177">
      <w:pPr>
        <w:numPr>
          <w:ilvl w:val="0"/>
          <w:numId w:val="5"/>
        </w:numPr>
        <w:rPr>
          <w:szCs w:val="24"/>
        </w:rPr>
      </w:pPr>
      <w:r w:rsidRPr="00E80177">
        <w:rPr>
          <w:b/>
          <w:bCs/>
          <w:szCs w:val="24"/>
        </w:rPr>
        <w:t>1860s onward</w:t>
      </w:r>
      <w:r w:rsidRPr="00E80177">
        <w:rPr>
          <w:szCs w:val="24"/>
        </w:rPr>
        <w:t>: The Alliance Isra</w:t>
      </w:r>
      <w:r w:rsidR="009201ED">
        <w:rPr>
          <w:szCs w:val="24"/>
        </w:rPr>
        <w:t>e</w:t>
      </w:r>
      <w:r w:rsidRPr="00E80177">
        <w:rPr>
          <w:szCs w:val="24"/>
        </w:rPr>
        <w:t>lite Universelle opens schools.</w:t>
      </w:r>
    </w:p>
    <w:p w14:paraId="55770E64" w14:textId="77777777" w:rsidR="00E80177" w:rsidRPr="00E80177" w:rsidRDefault="00E80177" w:rsidP="00E80177">
      <w:pPr>
        <w:numPr>
          <w:ilvl w:val="0"/>
          <w:numId w:val="5"/>
        </w:numPr>
        <w:rPr>
          <w:szCs w:val="24"/>
        </w:rPr>
      </w:pPr>
      <w:r w:rsidRPr="00E80177">
        <w:rPr>
          <w:b/>
          <w:bCs/>
          <w:szCs w:val="24"/>
        </w:rPr>
        <w:t>1882</w:t>
      </w:r>
      <w:r w:rsidRPr="00E80177">
        <w:rPr>
          <w:szCs w:val="24"/>
        </w:rPr>
        <w:t>: The First Aliyah begins.</w:t>
      </w:r>
    </w:p>
    <w:p w14:paraId="536FEDE4" w14:textId="77777777" w:rsidR="00E80177" w:rsidRPr="00E80177" w:rsidRDefault="00E80177" w:rsidP="00E80177">
      <w:pPr>
        <w:rPr>
          <w:b/>
          <w:bCs/>
          <w:szCs w:val="24"/>
        </w:rPr>
      </w:pPr>
      <w:r w:rsidRPr="00E80177">
        <w:rPr>
          <w:b/>
          <w:bCs/>
          <w:szCs w:val="24"/>
        </w:rPr>
        <w:t>Twentieth Century to Today</w:t>
      </w:r>
    </w:p>
    <w:p w14:paraId="08061C52" w14:textId="77777777" w:rsidR="00E80177" w:rsidRPr="00E80177" w:rsidRDefault="00E80177" w:rsidP="00E80177">
      <w:pPr>
        <w:numPr>
          <w:ilvl w:val="0"/>
          <w:numId w:val="6"/>
        </w:numPr>
        <w:rPr>
          <w:szCs w:val="24"/>
        </w:rPr>
      </w:pPr>
      <w:r w:rsidRPr="00E80177">
        <w:rPr>
          <w:b/>
          <w:bCs/>
          <w:szCs w:val="24"/>
        </w:rPr>
        <w:t>1917–1922</w:t>
      </w:r>
      <w:r w:rsidRPr="00E80177">
        <w:rPr>
          <w:szCs w:val="24"/>
        </w:rPr>
        <w:t>: The Ottomans fall, and the British and French Mandates begin.</w:t>
      </w:r>
    </w:p>
    <w:p w14:paraId="6D793D1E" w14:textId="77777777" w:rsidR="00E80177" w:rsidRPr="00E80177" w:rsidRDefault="00E80177" w:rsidP="00E80177">
      <w:pPr>
        <w:numPr>
          <w:ilvl w:val="0"/>
          <w:numId w:val="6"/>
        </w:numPr>
        <w:rPr>
          <w:szCs w:val="24"/>
        </w:rPr>
      </w:pPr>
      <w:r w:rsidRPr="00E80177">
        <w:rPr>
          <w:b/>
          <w:bCs/>
          <w:szCs w:val="24"/>
        </w:rPr>
        <w:t>1941</w:t>
      </w:r>
      <w:r w:rsidRPr="00E80177">
        <w:rPr>
          <w:szCs w:val="24"/>
        </w:rPr>
        <w:t>: The Farhud massacre takes place in Baghdad.</w:t>
      </w:r>
    </w:p>
    <w:p w14:paraId="5F2AA51A" w14:textId="77777777" w:rsidR="00E80177" w:rsidRPr="00E80177" w:rsidRDefault="00E80177" w:rsidP="00E80177">
      <w:pPr>
        <w:numPr>
          <w:ilvl w:val="0"/>
          <w:numId w:val="6"/>
        </w:numPr>
        <w:rPr>
          <w:szCs w:val="24"/>
        </w:rPr>
      </w:pPr>
      <w:r w:rsidRPr="00E80177">
        <w:rPr>
          <w:b/>
          <w:bCs/>
          <w:szCs w:val="24"/>
        </w:rPr>
        <w:t>1947</w:t>
      </w:r>
      <w:r w:rsidRPr="00E80177">
        <w:rPr>
          <w:szCs w:val="24"/>
        </w:rPr>
        <w:t>: Anti-Jewish riots break out in Aleppo and Aden.</w:t>
      </w:r>
    </w:p>
    <w:p w14:paraId="020CC45F" w14:textId="77777777" w:rsidR="00E80177" w:rsidRPr="00E80177" w:rsidRDefault="00E80177" w:rsidP="00E80177">
      <w:pPr>
        <w:numPr>
          <w:ilvl w:val="0"/>
          <w:numId w:val="6"/>
        </w:numPr>
        <w:rPr>
          <w:szCs w:val="24"/>
        </w:rPr>
      </w:pPr>
      <w:r w:rsidRPr="00E80177">
        <w:rPr>
          <w:b/>
          <w:bCs/>
          <w:szCs w:val="24"/>
        </w:rPr>
        <w:t>1948</w:t>
      </w:r>
      <w:r w:rsidRPr="00E80177">
        <w:rPr>
          <w:szCs w:val="24"/>
        </w:rPr>
        <w:t>: Israel is established.</w:t>
      </w:r>
    </w:p>
    <w:p w14:paraId="3ED60F88" w14:textId="77777777" w:rsidR="00E80177" w:rsidRPr="00E80177" w:rsidRDefault="00E80177" w:rsidP="00E80177">
      <w:pPr>
        <w:numPr>
          <w:ilvl w:val="0"/>
          <w:numId w:val="6"/>
        </w:numPr>
        <w:rPr>
          <w:szCs w:val="24"/>
        </w:rPr>
      </w:pPr>
      <w:r w:rsidRPr="00E80177">
        <w:rPr>
          <w:b/>
          <w:bCs/>
          <w:szCs w:val="24"/>
        </w:rPr>
        <w:t>1949–1950</w:t>
      </w:r>
      <w:r w:rsidRPr="00E80177">
        <w:rPr>
          <w:szCs w:val="24"/>
        </w:rPr>
        <w:t>: Operation Magic Carpet flies about 45,000 Yemeni Jews to Israel.[</w:t>
      </w:r>
      <w:hyperlink r:id="rId8" w:history="1">
        <w:r w:rsidRPr="00E80177">
          <w:rPr>
            <w:rStyle w:val="Hyperlink"/>
            <w:szCs w:val="24"/>
          </w:rPr>
          <w:t>israeled</w:t>
        </w:r>
      </w:hyperlink>
      <w:r w:rsidRPr="00E80177">
        <w:rPr>
          <w:szCs w:val="24"/>
        </w:rPr>
        <w:t>]</w:t>
      </w:r>
    </w:p>
    <w:p w14:paraId="351EB5E4" w14:textId="4799CA9D" w:rsidR="00E80177" w:rsidRPr="00E80177" w:rsidRDefault="00E80177" w:rsidP="00E80177">
      <w:pPr>
        <w:numPr>
          <w:ilvl w:val="0"/>
          <w:numId w:val="6"/>
        </w:numPr>
        <w:rPr>
          <w:szCs w:val="24"/>
        </w:rPr>
      </w:pPr>
      <w:r w:rsidRPr="00E80177">
        <w:rPr>
          <w:b/>
          <w:bCs/>
          <w:szCs w:val="24"/>
        </w:rPr>
        <w:t>1950–1951</w:t>
      </w:r>
      <w:r w:rsidRPr="00E80177">
        <w:rPr>
          <w:szCs w:val="24"/>
        </w:rPr>
        <w:t>: About 120,000 Iraqi Jews leave after giving up their citizenshi</w:t>
      </w:r>
      <w:r w:rsidR="009201ED">
        <w:rPr>
          <w:szCs w:val="24"/>
        </w:rPr>
        <w:t>p.</w:t>
      </w:r>
      <w:r w:rsidR="009201ED" w:rsidRPr="00E80177">
        <w:rPr>
          <w:szCs w:val="24"/>
        </w:rPr>
        <w:t xml:space="preserve"> </w:t>
      </w:r>
    </w:p>
    <w:p w14:paraId="7634C25E" w14:textId="17201F1A" w:rsidR="00E80177" w:rsidRPr="00E80177" w:rsidRDefault="00E80177" w:rsidP="00E80177">
      <w:pPr>
        <w:numPr>
          <w:ilvl w:val="0"/>
          <w:numId w:val="6"/>
        </w:numPr>
        <w:rPr>
          <w:szCs w:val="24"/>
        </w:rPr>
      </w:pPr>
      <w:r w:rsidRPr="00E80177">
        <w:rPr>
          <w:b/>
          <w:bCs/>
          <w:szCs w:val="24"/>
        </w:rPr>
        <w:t>1948–early 1970s</w:t>
      </w:r>
      <w:r w:rsidRPr="00E80177">
        <w:rPr>
          <w:szCs w:val="24"/>
        </w:rPr>
        <w:t>: About 900,000 Jews leave Muslim-majority countries.</w:t>
      </w:r>
      <w:r w:rsidR="009201ED" w:rsidRPr="00E80177">
        <w:rPr>
          <w:szCs w:val="24"/>
        </w:rPr>
        <w:t xml:space="preserve"> </w:t>
      </w:r>
    </w:p>
    <w:p w14:paraId="6111887B" w14:textId="740443A2" w:rsidR="00E80177" w:rsidRPr="00E80177" w:rsidRDefault="00E80177" w:rsidP="00E80177">
      <w:pPr>
        <w:numPr>
          <w:ilvl w:val="0"/>
          <w:numId w:val="6"/>
        </w:numPr>
        <w:rPr>
          <w:szCs w:val="24"/>
        </w:rPr>
      </w:pPr>
      <w:r w:rsidRPr="00E80177">
        <w:rPr>
          <w:b/>
          <w:bCs/>
          <w:szCs w:val="24"/>
        </w:rPr>
        <w:t>1979–1980</w:t>
      </w:r>
      <w:r w:rsidRPr="00E80177">
        <w:rPr>
          <w:szCs w:val="24"/>
        </w:rPr>
        <w:t>: Iranian Jews leave in a final wave after the Islamic Revolution.</w:t>
      </w:r>
      <w:r w:rsidR="009201ED" w:rsidRPr="00E80177">
        <w:rPr>
          <w:szCs w:val="24"/>
        </w:rPr>
        <w:t xml:space="preserve"> </w:t>
      </w:r>
    </w:p>
    <w:p w14:paraId="78ADCC18" w14:textId="77777777" w:rsidR="00E80177" w:rsidRPr="00E80177" w:rsidRDefault="00E80177" w:rsidP="00E80177">
      <w:pPr>
        <w:numPr>
          <w:ilvl w:val="0"/>
          <w:numId w:val="6"/>
        </w:numPr>
        <w:rPr>
          <w:szCs w:val="24"/>
        </w:rPr>
      </w:pPr>
      <w:r w:rsidRPr="00E80177">
        <w:rPr>
          <w:b/>
          <w:bCs/>
          <w:szCs w:val="24"/>
        </w:rPr>
        <w:t>Today</w:t>
      </w:r>
      <w:r w:rsidRPr="00E80177">
        <w:rPr>
          <w:szCs w:val="24"/>
        </w:rPr>
        <w:t>: Near Eastern Jewish life is centred in Israel, with remaining communities in Turkey and Iran.</w:t>
      </w:r>
    </w:p>
    <w:p w14:paraId="3E7BA6C3" w14:textId="77777777" w:rsidR="00E80177" w:rsidRPr="00E80177" w:rsidRDefault="00E80177" w:rsidP="00E80177">
      <w:pPr>
        <w:rPr>
          <w:szCs w:val="24"/>
        </w:rPr>
      </w:pPr>
      <w:r w:rsidRPr="00E80177">
        <w:rPr>
          <w:szCs w:val="24"/>
        </w:rPr>
        <w:pict w14:anchorId="45B229A2">
          <v:rect id="_x0000_i1025" style="width:0;height:1.5pt" o:hralign="center" o:hrstd="t" o:hr="t" fillcolor="#a0a0a0" stroked="f"/>
        </w:pict>
      </w:r>
    </w:p>
    <w:p w14:paraId="32742B14" w14:textId="77777777" w:rsidR="00E80177" w:rsidRDefault="00E80177">
      <w:pPr>
        <w:rPr>
          <w:szCs w:val="24"/>
        </w:rPr>
      </w:pPr>
    </w:p>
    <w:p w14:paraId="1E5FABA4" w14:textId="2BB865DA" w:rsidR="00E80177" w:rsidRDefault="00E80177">
      <w:pPr>
        <w:rPr>
          <w:szCs w:val="24"/>
        </w:rPr>
      </w:pPr>
      <w:r>
        <w:rPr>
          <w:b/>
          <w:bCs/>
          <w:sz w:val="28"/>
          <w:szCs w:val="28"/>
        </w:rPr>
        <w:t>Overview</w:t>
      </w:r>
    </w:p>
    <w:p w14:paraId="3C4F96B5" w14:textId="77777777" w:rsidR="00E80177" w:rsidRPr="00E80177" w:rsidRDefault="00E80177" w:rsidP="00E80177">
      <w:pPr>
        <w:rPr>
          <w:b/>
          <w:bCs/>
          <w:szCs w:val="24"/>
        </w:rPr>
      </w:pPr>
      <w:r w:rsidRPr="00E80177">
        <w:rPr>
          <w:b/>
          <w:bCs/>
          <w:szCs w:val="24"/>
        </w:rPr>
        <w:t>Babylonian Exile and Return (597–332 BCE)</w:t>
      </w:r>
    </w:p>
    <w:p w14:paraId="54557D70" w14:textId="7828D10F" w:rsidR="00E80177" w:rsidRPr="00E80177" w:rsidRDefault="00E80177" w:rsidP="00E80177">
      <w:pPr>
        <w:rPr>
          <w:szCs w:val="24"/>
        </w:rPr>
      </w:pPr>
      <w:r w:rsidRPr="00E80177">
        <w:rPr>
          <w:szCs w:val="24"/>
        </w:rPr>
        <w:t>Nebuchadnezzar II deported part of Judah</w:t>
      </w:r>
      <w:r w:rsidR="00025B7A">
        <w:rPr>
          <w:szCs w:val="24"/>
        </w:rPr>
        <w:t>'</w:t>
      </w:r>
      <w:r w:rsidRPr="00E80177">
        <w:rPr>
          <w:szCs w:val="24"/>
        </w:rPr>
        <w:t>s elite to Babylonia in 597 BCE. He destroyed Jerusalem and the First Temple in 586 BCE and carried out more deportations. In Babylonia</w:t>
      </w:r>
      <w:r w:rsidR="009201ED">
        <w:rPr>
          <w:szCs w:val="24"/>
        </w:rPr>
        <w:t>,</w:t>
      </w:r>
      <w:r w:rsidRPr="00E80177">
        <w:rPr>
          <w:szCs w:val="24"/>
        </w:rPr>
        <w:t xml:space="preserve"> the exiles had no sanctuary or altar. </w:t>
      </w:r>
      <w:r w:rsidR="009201ED">
        <w:rPr>
          <w:szCs w:val="24"/>
        </w:rPr>
        <w:t xml:space="preserve">There, </w:t>
      </w:r>
      <w:r w:rsidRPr="00E80177">
        <w:rPr>
          <w:szCs w:val="24"/>
        </w:rPr>
        <w:t xml:space="preserve">new religious forms </w:t>
      </w:r>
      <w:r w:rsidR="009201ED">
        <w:rPr>
          <w:szCs w:val="24"/>
        </w:rPr>
        <w:t>replaced them</w:t>
      </w:r>
      <w:r w:rsidRPr="00E80177">
        <w:rPr>
          <w:szCs w:val="24"/>
        </w:rPr>
        <w:t>: fixed prayer, public fasts and confessions, and gatherings to study the Torah. Prophets such as Ezekiel and Second Isaiah reworked Israelite religion so it could survive without land, king or Temple.</w:t>
      </w:r>
      <w:r w:rsidR="009201ED" w:rsidRPr="00E80177">
        <w:rPr>
          <w:szCs w:val="24"/>
        </w:rPr>
        <w:t xml:space="preserve"> </w:t>
      </w:r>
    </w:p>
    <w:p w14:paraId="6EBA09CD" w14:textId="7C7BB14A" w:rsidR="00E80177" w:rsidRPr="00E80177" w:rsidRDefault="00E80177" w:rsidP="00E80177">
      <w:pPr>
        <w:rPr>
          <w:b/>
          <w:bCs/>
          <w:szCs w:val="24"/>
        </w:rPr>
      </w:pPr>
      <w:r w:rsidRPr="00E80177">
        <w:rPr>
          <w:szCs w:val="24"/>
        </w:rPr>
        <w:t xml:space="preserve">Cyrus the Great conquered Babylon in 539 BCE and allowed the exiles to return. </w:t>
      </w:r>
      <w:r w:rsidRPr="00E80177">
        <w:rPr>
          <w:b/>
          <w:bCs/>
          <w:szCs w:val="24"/>
        </w:rPr>
        <w:t>Only some went back.</w:t>
      </w:r>
      <w:r w:rsidRPr="00E80177">
        <w:rPr>
          <w:szCs w:val="24"/>
        </w:rPr>
        <w:t xml:space="preserve"> The Second Temple was finished around 515 BCE, and under Ezra and Nehemiah in the mid-5th </w:t>
      </w:r>
      <w:r w:rsidR="00025B7A">
        <w:rPr>
          <w:szCs w:val="24"/>
        </w:rPr>
        <w:t>C</w:t>
      </w:r>
      <w:r w:rsidRPr="00E80177">
        <w:rPr>
          <w:szCs w:val="24"/>
        </w:rPr>
        <w:t xml:space="preserve">entury the Torah became the basis of community life in Persian-ruled Yehud. A large community stayed in Mesopotamia, and Persian-era Jewish communities also existed </w:t>
      </w:r>
      <w:r w:rsidRPr="00E80177">
        <w:rPr>
          <w:szCs w:val="24"/>
        </w:rPr>
        <w:lastRenderedPageBreak/>
        <w:t xml:space="preserve">elsewhere, such as the military colony at Elephantine in Egypt. </w:t>
      </w:r>
      <w:r w:rsidRPr="00E80177">
        <w:rPr>
          <w:b/>
          <w:bCs/>
          <w:szCs w:val="24"/>
        </w:rPr>
        <w:t>From this point on, Near Eastern Jewry had two centres: the Land of Israel and Babylonia.</w:t>
      </w:r>
    </w:p>
    <w:p w14:paraId="7216EEB0" w14:textId="77777777" w:rsidR="00E80177" w:rsidRPr="00E80177" w:rsidRDefault="00E80177" w:rsidP="00E80177">
      <w:pPr>
        <w:rPr>
          <w:b/>
          <w:bCs/>
          <w:szCs w:val="24"/>
        </w:rPr>
      </w:pPr>
      <w:r w:rsidRPr="00E80177">
        <w:rPr>
          <w:b/>
          <w:bCs/>
          <w:szCs w:val="24"/>
        </w:rPr>
        <w:t>Hellenistic and Roman Periods (332 BCE–c. 200 CE)</w:t>
      </w:r>
    </w:p>
    <w:p w14:paraId="74CFC175" w14:textId="2D620CFA" w:rsidR="00E80177" w:rsidRPr="00E80177" w:rsidRDefault="00E80177" w:rsidP="00E80177">
      <w:pPr>
        <w:rPr>
          <w:szCs w:val="24"/>
        </w:rPr>
      </w:pPr>
      <w:r w:rsidRPr="00E80177">
        <w:rPr>
          <w:szCs w:val="24"/>
        </w:rPr>
        <w:t>After Alexander</w:t>
      </w:r>
      <w:r w:rsidR="00025B7A">
        <w:rPr>
          <w:szCs w:val="24"/>
        </w:rPr>
        <w:t>'</w:t>
      </w:r>
      <w:r w:rsidRPr="00E80177">
        <w:rPr>
          <w:szCs w:val="24"/>
        </w:rPr>
        <w:t xml:space="preserve">s conquest, </w:t>
      </w:r>
      <w:r w:rsidR="009201ED">
        <w:rPr>
          <w:szCs w:val="24"/>
        </w:rPr>
        <w:t>the Ptolemies ruled Judea first, then</w:t>
      </w:r>
      <w:r w:rsidRPr="00E80177">
        <w:rPr>
          <w:szCs w:val="24"/>
        </w:rPr>
        <w:t xml:space="preserve"> the Seleucids. Alexandria grew into the largest diaspora city, where the Septuagint was produced</w:t>
      </w:r>
      <w:r w:rsidR="009201ED">
        <w:rPr>
          <w:szCs w:val="24"/>
        </w:rPr>
        <w:t>,</w:t>
      </w:r>
      <w:r w:rsidRPr="00E80177">
        <w:rPr>
          <w:szCs w:val="24"/>
        </w:rPr>
        <w:t xml:space="preserve"> and Philo later wrote. Antiochus IV</w:t>
      </w:r>
      <w:r w:rsidR="00025B7A">
        <w:rPr>
          <w:szCs w:val="24"/>
        </w:rPr>
        <w:t>'</w:t>
      </w:r>
      <w:r w:rsidRPr="00E80177">
        <w:rPr>
          <w:szCs w:val="24"/>
        </w:rPr>
        <w:t>s religious persecution set off the Maccabean revolt (167–164 BCE), which led to the independent Hasmonean state.</w:t>
      </w:r>
    </w:p>
    <w:p w14:paraId="613D9884" w14:textId="0BD2153D" w:rsidR="00E80177" w:rsidRPr="00E80177" w:rsidRDefault="00E80177" w:rsidP="00E80177">
      <w:pPr>
        <w:rPr>
          <w:szCs w:val="24"/>
        </w:rPr>
      </w:pPr>
      <w:r w:rsidRPr="00E80177">
        <w:rPr>
          <w:szCs w:val="24"/>
        </w:rPr>
        <w:t>Rome took over in 63 BCE and ruled through Herod</w:t>
      </w:r>
      <w:r w:rsidR="009201ED">
        <w:rPr>
          <w:szCs w:val="24"/>
        </w:rPr>
        <w:t>, then</w:t>
      </w:r>
      <w:r w:rsidRPr="00E80177">
        <w:rPr>
          <w:szCs w:val="24"/>
        </w:rPr>
        <w:t xml:space="preserve"> through procurators. Three failed revolts followed:</w:t>
      </w:r>
    </w:p>
    <w:p w14:paraId="1310F944" w14:textId="68CF55EF" w:rsidR="00E80177" w:rsidRPr="00E80177" w:rsidRDefault="00E80177" w:rsidP="00E80177">
      <w:pPr>
        <w:numPr>
          <w:ilvl w:val="0"/>
          <w:numId w:val="7"/>
        </w:numPr>
        <w:rPr>
          <w:szCs w:val="24"/>
        </w:rPr>
      </w:pPr>
      <w:r w:rsidRPr="00E80177">
        <w:rPr>
          <w:b/>
          <w:bCs/>
          <w:szCs w:val="24"/>
        </w:rPr>
        <w:t>The Great Revolt (66–70 CE):</w:t>
      </w:r>
      <w:r w:rsidRPr="00E80177">
        <w:rPr>
          <w:szCs w:val="24"/>
        </w:rPr>
        <w:t xml:space="preserve"> the </w:t>
      </w:r>
      <w:r w:rsidR="00025B7A">
        <w:rPr>
          <w:szCs w:val="24"/>
        </w:rPr>
        <w:t>Romans destroyed the Second Temple</w:t>
      </w:r>
      <w:r w:rsidRPr="00E80177">
        <w:rPr>
          <w:szCs w:val="24"/>
        </w:rPr>
        <w:t>.</w:t>
      </w:r>
    </w:p>
    <w:p w14:paraId="0D375C1B" w14:textId="2C2E9B7C" w:rsidR="00E80177" w:rsidRPr="00E80177" w:rsidRDefault="00E80177" w:rsidP="00E80177">
      <w:pPr>
        <w:numPr>
          <w:ilvl w:val="0"/>
          <w:numId w:val="7"/>
        </w:numPr>
        <w:rPr>
          <w:szCs w:val="24"/>
        </w:rPr>
      </w:pPr>
      <w:r w:rsidRPr="00E80177">
        <w:rPr>
          <w:b/>
          <w:bCs/>
          <w:szCs w:val="24"/>
        </w:rPr>
        <w:t>The Diaspora revolts (115–117):</w:t>
      </w:r>
      <w:r w:rsidRPr="00E80177">
        <w:rPr>
          <w:szCs w:val="24"/>
        </w:rPr>
        <w:t xml:space="preserve"> these largely wiped out the communities of Egypt, Cyrene</w:t>
      </w:r>
      <w:r w:rsidR="00025B7A">
        <w:rPr>
          <w:szCs w:val="24"/>
        </w:rPr>
        <w:t xml:space="preserve"> (modern-day Libya)</w:t>
      </w:r>
      <w:r w:rsidRPr="00E80177">
        <w:rPr>
          <w:szCs w:val="24"/>
        </w:rPr>
        <w:t xml:space="preserve"> and Cyprus.</w:t>
      </w:r>
    </w:p>
    <w:p w14:paraId="1FD52657" w14:textId="7520A908" w:rsidR="00E80177" w:rsidRPr="00E80177" w:rsidRDefault="00E80177" w:rsidP="00E80177">
      <w:pPr>
        <w:numPr>
          <w:ilvl w:val="0"/>
          <w:numId w:val="7"/>
        </w:numPr>
        <w:rPr>
          <w:szCs w:val="24"/>
        </w:rPr>
      </w:pPr>
      <w:r w:rsidRPr="00E80177">
        <w:rPr>
          <w:b/>
          <w:bCs/>
          <w:szCs w:val="24"/>
        </w:rPr>
        <w:t>The Bar Kokhba revolt (132–135):</w:t>
      </w:r>
      <w:r w:rsidRPr="00E80177">
        <w:rPr>
          <w:szCs w:val="24"/>
        </w:rPr>
        <w:t xml:space="preserve"> Judea was devastated</w:t>
      </w:r>
      <w:r w:rsidR="00025B7A">
        <w:rPr>
          <w:szCs w:val="24"/>
        </w:rPr>
        <w:t>,</w:t>
      </w:r>
      <w:r w:rsidRPr="00E80177">
        <w:rPr>
          <w:szCs w:val="24"/>
        </w:rPr>
        <w:t xml:space="preserve"> and Jews were banned from Jerusalem.</w:t>
      </w:r>
    </w:p>
    <w:p w14:paraId="4F2CA9BA" w14:textId="5B201FBA" w:rsidR="00E80177" w:rsidRPr="00E80177" w:rsidRDefault="00E80177" w:rsidP="00E80177">
      <w:pPr>
        <w:rPr>
          <w:szCs w:val="24"/>
        </w:rPr>
      </w:pPr>
      <w:r w:rsidRPr="00E80177">
        <w:rPr>
          <w:szCs w:val="24"/>
        </w:rPr>
        <w:t>Rabbinic Judaism reorgani</w:t>
      </w:r>
      <w:r w:rsidR="00025B7A">
        <w:rPr>
          <w:szCs w:val="24"/>
        </w:rPr>
        <w:t>z</w:t>
      </w:r>
      <w:r w:rsidRPr="00E80177">
        <w:rPr>
          <w:szCs w:val="24"/>
        </w:rPr>
        <w:t>ed the tradition after these defeats, at Yavneh and later in Galilee. Its first major product was the Mishnah, edited under Judah ha-Nasi around 200 CE.</w:t>
      </w:r>
    </w:p>
    <w:p w14:paraId="7F782167" w14:textId="77777777" w:rsidR="00E80177" w:rsidRPr="00E80177" w:rsidRDefault="00E80177" w:rsidP="00E80177">
      <w:pPr>
        <w:rPr>
          <w:b/>
          <w:bCs/>
          <w:szCs w:val="24"/>
        </w:rPr>
      </w:pPr>
      <w:r w:rsidRPr="00E80177">
        <w:rPr>
          <w:b/>
          <w:bCs/>
          <w:szCs w:val="24"/>
        </w:rPr>
        <w:t>Late Antiquity (200–640)</w:t>
      </w:r>
    </w:p>
    <w:p w14:paraId="3EA66EA5" w14:textId="74532A1B" w:rsidR="00E80177" w:rsidRPr="00E80177" w:rsidRDefault="00E80177" w:rsidP="00E80177">
      <w:pPr>
        <w:rPr>
          <w:szCs w:val="24"/>
        </w:rPr>
      </w:pPr>
      <w:r w:rsidRPr="00E80177">
        <w:rPr>
          <w:szCs w:val="24"/>
        </w:rPr>
        <w:t xml:space="preserve">In Roman and later Byzantine Palestine, the Patriarchate and the Galilean academies produced the Jerusalem Talmud. After Constantine, imperial Christian law steadily restricted Jews. Babylonia, under Parthian and then Sasanian rule, had a self-governing community led by the Exilarch (Resh Galuta). Its academies at Sura, Nehardea and Pumbedita produced the Babylonian Talmud, and Britannica describes how later scholars, the </w:t>
      </w:r>
      <w:r w:rsidR="00025B7A">
        <w:rPr>
          <w:szCs w:val="24"/>
        </w:rPr>
        <w:t>S</w:t>
      </w:r>
      <w:r w:rsidRPr="00E80177">
        <w:rPr>
          <w:szCs w:val="24"/>
        </w:rPr>
        <w:t>avoraim</w:t>
      </w:r>
      <w:r w:rsidR="00025B7A">
        <w:rPr>
          <w:szCs w:val="24"/>
        </w:rPr>
        <w:t xml:space="preserve"> (the "explainers")</w:t>
      </w:r>
      <w:r w:rsidRPr="00E80177">
        <w:rPr>
          <w:szCs w:val="24"/>
        </w:rPr>
        <w:t>, gave it its final shape.</w:t>
      </w:r>
      <w:r w:rsidR="00025B7A" w:rsidRPr="00E80177">
        <w:rPr>
          <w:szCs w:val="24"/>
        </w:rPr>
        <w:t xml:space="preserve"> </w:t>
      </w:r>
    </w:p>
    <w:p w14:paraId="11EF7E18" w14:textId="77777777" w:rsidR="00E80177" w:rsidRPr="00E80177" w:rsidRDefault="00E80177" w:rsidP="00E80177">
      <w:pPr>
        <w:rPr>
          <w:b/>
          <w:bCs/>
          <w:szCs w:val="24"/>
        </w:rPr>
      </w:pPr>
      <w:r w:rsidRPr="00E80177">
        <w:rPr>
          <w:b/>
          <w:bCs/>
          <w:szCs w:val="24"/>
        </w:rPr>
        <w:t>Early Islamic Period and the Geonim (640–1258)</w:t>
      </w:r>
    </w:p>
    <w:p w14:paraId="2BC52381" w14:textId="75335665" w:rsidR="00E80177" w:rsidRPr="00E80177" w:rsidRDefault="00E80177" w:rsidP="00E80177">
      <w:pPr>
        <w:rPr>
          <w:szCs w:val="24"/>
        </w:rPr>
      </w:pPr>
      <w:r w:rsidRPr="00E80177">
        <w:rPr>
          <w:szCs w:val="24"/>
        </w:rPr>
        <w:t xml:space="preserve">The Arab conquests brought most Near Eastern Jews under one Islamic polity with dhimmi (protected) status. This meant legal protection and communal autonomy in exchange for the jizya poll tax and various restrictions. The </w:t>
      </w:r>
      <w:r w:rsidR="00025B7A">
        <w:rPr>
          <w:szCs w:val="24"/>
        </w:rPr>
        <w:t>geonim, heads of the Sura and Pumbedita academies, ran high courts funded by communities</w:t>
      </w:r>
      <w:r w:rsidRPr="00E80177">
        <w:rPr>
          <w:szCs w:val="24"/>
        </w:rPr>
        <w:t xml:space="preserve"> the exilarch assigned to them</w:t>
      </w:r>
      <w:r w:rsidR="00025B7A">
        <w:rPr>
          <w:szCs w:val="24"/>
        </w:rPr>
        <w:t>. From the 760s onward, they worked to replace Palestinian customs with Babylonian practice, making</w:t>
      </w:r>
      <w:r w:rsidRPr="00E80177">
        <w:rPr>
          <w:szCs w:val="24"/>
        </w:rPr>
        <w:t xml:space="preserve"> the Babylonian Talmud the standard for Jewish law. </w:t>
      </w:r>
      <w:r w:rsidR="00025B7A">
        <w:rPr>
          <w:szCs w:val="24"/>
        </w:rPr>
        <w:t>T</w:t>
      </w:r>
      <w:r w:rsidRPr="00E80177">
        <w:rPr>
          <w:szCs w:val="24"/>
        </w:rPr>
        <w:t xml:space="preserve">he geonic era </w:t>
      </w:r>
      <w:r w:rsidR="00025B7A">
        <w:rPr>
          <w:szCs w:val="24"/>
        </w:rPr>
        <w:t xml:space="preserve">ran </w:t>
      </w:r>
      <w:r w:rsidRPr="00E80177">
        <w:rPr>
          <w:szCs w:val="24"/>
        </w:rPr>
        <w:t xml:space="preserve">from 589 to </w:t>
      </w:r>
      <w:r w:rsidR="00025B7A">
        <w:rPr>
          <w:szCs w:val="24"/>
        </w:rPr>
        <w:t>Hai Gaon's death</w:t>
      </w:r>
      <w:r w:rsidRPr="00E80177">
        <w:rPr>
          <w:szCs w:val="24"/>
        </w:rPr>
        <w:t xml:space="preserve"> in 1038. </w:t>
      </w:r>
      <w:r w:rsidR="00025B7A">
        <w:rPr>
          <w:szCs w:val="24"/>
        </w:rPr>
        <w:t>During those centuries, Jews began moving from Babylonia to North Africa, Europe,</w:t>
      </w:r>
      <w:r w:rsidRPr="00E80177">
        <w:rPr>
          <w:szCs w:val="24"/>
        </w:rPr>
        <w:t xml:space="preserve"> and other parts of Asia.</w:t>
      </w:r>
      <w:r w:rsidR="00025B7A" w:rsidRPr="00E80177">
        <w:rPr>
          <w:szCs w:val="24"/>
        </w:rPr>
        <w:t xml:space="preserve"> </w:t>
      </w:r>
    </w:p>
    <w:p w14:paraId="44EFDBF6" w14:textId="77777777" w:rsidR="00E80177" w:rsidRPr="00E80177" w:rsidRDefault="00E80177" w:rsidP="00E80177">
      <w:pPr>
        <w:rPr>
          <w:szCs w:val="24"/>
        </w:rPr>
      </w:pPr>
      <w:r w:rsidRPr="00E80177">
        <w:rPr>
          <w:szCs w:val="24"/>
        </w:rPr>
        <w:t>Other developments of the period:</w:t>
      </w:r>
    </w:p>
    <w:p w14:paraId="40D64CE0" w14:textId="77777777" w:rsidR="00E80177" w:rsidRPr="00E80177" w:rsidRDefault="00E80177" w:rsidP="00E80177">
      <w:pPr>
        <w:numPr>
          <w:ilvl w:val="0"/>
          <w:numId w:val="8"/>
        </w:numPr>
        <w:rPr>
          <w:szCs w:val="24"/>
        </w:rPr>
      </w:pPr>
      <w:r w:rsidRPr="00E80177">
        <w:rPr>
          <w:b/>
          <w:bCs/>
          <w:szCs w:val="24"/>
        </w:rPr>
        <w:t>Karaism</w:t>
      </w:r>
      <w:r w:rsidRPr="00E80177">
        <w:rPr>
          <w:szCs w:val="24"/>
        </w:rPr>
        <w:t xml:space="preserve"> emerged in the 8th and 9th centuries and rejected rabbinic authority.</w:t>
      </w:r>
    </w:p>
    <w:p w14:paraId="7850056A" w14:textId="77777777" w:rsidR="00E80177" w:rsidRPr="00E80177" w:rsidRDefault="00E80177" w:rsidP="00E80177">
      <w:pPr>
        <w:numPr>
          <w:ilvl w:val="0"/>
          <w:numId w:val="8"/>
        </w:numPr>
        <w:rPr>
          <w:szCs w:val="24"/>
        </w:rPr>
      </w:pPr>
      <w:r w:rsidRPr="00E80177">
        <w:rPr>
          <w:b/>
          <w:bCs/>
          <w:szCs w:val="24"/>
        </w:rPr>
        <w:t>Saadia Gaon</w:t>
      </w:r>
      <w:r w:rsidRPr="00E80177">
        <w:rPr>
          <w:szCs w:val="24"/>
        </w:rPr>
        <w:t xml:space="preserve"> (d. 942) founded Judeo-Arabic philosophy, grammar and biblical exegesis.</w:t>
      </w:r>
    </w:p>
    <w:p w14:paraId="30EC9DC2" w14:textId="06F6160E" w:rsidR="00E80177" w:rsidRPr="00E80177" w:rsidRDefault="00E80177" w:rsidP="00E80177">
      <w:pPr>
        <w:numPr>
          <w:ilvl w:val="0"/>
          <w:numId w:val="8"/>
        </w:numPr>
        <w:rPr>
          <w:szCs w:val="24"/>
        </w:rPr>
      </w:pPr>
      <w:r w:rsidRPr="00E80177">
        <w:rPr>
          <w:b/>
          <w:bCs/>
          <w:szCs w:val="24"/>
        </w:rPr>
        <w:lastRenderedPageBreak/>
        <w:t>Fatimid Egypt</w:t>
      </w:r>
      <w:r w:rsidRPr="00E80177">
        <w:rPr>
          <w:szCs w:val="24"/>
        </w:rPr>
        <w:t xml:space="preserve"> became a major centre, documented in detail by the Cairo Geniza, under its own Head of the Jews (ra</w:t>
      </w:r>
      <w:r w:rsidR="00025B7A">
        <w:rPr>
          <w:szCs w:val="24"/>
        </w:rPr>
        <w:t>'</w:t>
      </w:r>
      <w:r w:rsidRPr="00E80177">
        <w:rPr>
          <w:szCs w:val="24"/>
        </w:rPr>
        <w:t>is al-yahud).</w:t>
      </w:r>
    </w:p>
    <w:p w14:paraId="006CE4D6" w14:textId="2486CBD9" w:rsidR="00E80177" w:rsidRPr="00E80177" w:rsidRDefault="00E80177" w:rsidP="00E80177">
      <w:pPr>
        <w:numPr>
          <w:ilvl w:val="0"/>
          <w:numId w:val="8"/>
        </w:numPr>
        <w:rPr>
          <w:szCs w:val="24"/>
        </w:rPr>
      </w:pPr>
      <w:r w:rsidRPr="00E80177">
        <w:rPr>
          <w:b/>
          <w:bCs/>
          <w:szCs w:val="24"/>
        </w:rPr>
        <w:t>Maimonides</w:t>
      </w:r>
      <w:r w:rsidRPr="00E80177">
        <w:rPr>
          <w:szCs w:val="24"/>
        </w:rPr>
        <w:t xml:space="preserve"> worked in Ayyubid Fustat in the late 12th </w:t>
      </w:r>
      <w:r w:rsidR="00025B7A">
        <w:rPr>
          <w:szCs w:val="24"/>
        </w:rPr>
        <w:t>C</w:t>
      </w:r>
      <w:r w:rsidRPr="00E80177">
        <w:rPr>
          <w:szCs w:val="24"/>
        </w:rPr>
        <w:t>entury.</w:t>
      </w:r>
    </w:p>
    <w:p w14:paraId="6C93928C" w14:textId="27721CAF" w:rsidR="00E80177" w:rsidRPr="00E80177" w:rsidRDefault="00E80177" w:rsidP="00E80177">
      <w:pPr>
        <w:rPr>
          <w:szCs w:val="24"/>
        </w:rPr>
      </w:pPr>
      <w:r w:rsidRPr="00E80177">
        <w:rPr>
          <w:szCs w:val="24"/>
        </w:rPr>
        <w:t>The Crusaders massacred Jerusalem</w:t>
      </w:r>
      <w:r w:rsidR="00025B7A">
        <w:rPr>
          <w:szCs w:val="24"/>
        </w:rPr>
        <w:t>'</w:t>
      </w:r>
      <w:r w:rsidRPr="00E80177">
        <w:rPr>
          <w:szCs w:val="24"/>
        </w:rPr>
        <w:t xml:space="preserve">s Jews in 1099. The Mongol sack of Baghdad in 1258 </w:t>
      </w:r>
      <w:r w:rsidR="00025B7A">
        <w:rPr>
          <w:szCs w:val="24"/>
        </w:rPr>
        <w:t>ended Babylonian primacy</w:t>
      </w:r>
      <w:r w:rsidRPr="00E80177">
        <w:rPr>
          <w:szCs w:val="24"/>
        </w:rPr>
        <w:t>.</w:t>
      </w:r>
    </w:p>
    <w:p w14:paraId="7469F686" w14:textId="77777777" w:rsidR="00E80177" w:rsidRPr="00E80177" w:rsidRDefault="00E80177" w:rsidP="00E80177">
      <w:pPr>
        <w:rPr>
          <w:b/>
          <w:bCs/>
          <w:szCs w:val="24"/>
        </w:rPr>
      </w:pPr>
      <w:r w:rsidRPr="00E80177">
        <w:rPr>
          <w:b/>
          <w:bCs/>
          <w:szCs w:val="24"/>
        </w:rPr>
        <w:t>Mamluk and Ottoman Eras (1250–1917)</w:t>
      </w:r>
    </w:p>
    <w:p w14:paraId="20236D31" w14:textId="3A1FD2C9" w:rsidR="00E80177" w:rsidRPr="00E80177" w:rsidRDefault="00E80177" w:rsidP="00E80177">
      <w:pPr>
        <w:rPr>
          <w:szCs w:val="24"/>
        </w:rPr>
      </w:pPr>
      <w:r w:rsidRPr="00E80177">
        <w:rPr>
          <w:szCs w:val="24"/>
        </w:rPr>
        <w:t>Under the Mamluks, Jewish life in Egypt, Syria and Palestine was restricted</w:t>
      </w:r>
      <w:r w:rsidR="00025B7A">
        <w:rPr>
          <w:szCs w:val="24"/>
        </w:rPr>
        <w:t>,</w:t>
      </w:r>
      <w:r w:rsidRPr="00E80177">
        <w:rPr>
          <w:szCs w:val="24"/>
        </w:rPr>
        <w:t xml:space="preserve"> and the communities stagnated. The Ottoman conquests of 1453–1517 changed this. The Empire took in large numbers of Sephardim expelled from Spain (1492) and Portugal (1497), and Salonica, Istanbul, Izmir, Aleppo and Safed flourished. In 16th-century Safed, Joseph Karo wrote the Shulhan Arukh and Isaac Luria developed Lurianic Kabbalah. The Sabbatean movement (1665–66) began </w:t>
      </w:r>
      <w:r w:rsidR="00025B7A">
        <w:rPr>
          <w:szCs w:val="24"/>
        </w:rPr>
        <w:t>here and shook the world</w:t>
      </w:r>
      <w:r w:rsidRPr="00E80177">
        <w:rPr>
          <w:szCs w:val="24"/>
        </w:rPr>
        <w:t xml:space="preserve"> </w:t>
      </w:r>
      <w:r w:rsidR="00025B7A">
        <w:rPr>
          <w:szCs w:val="24"/>
        </w:rPr>
        <w:t>to its core</w:t>
      </w:r>
      <w:r w:rsidRPr="00E80177">
        <w:rPr>
          <w:szCs w:val="24"/>
        </w:rPr>
        <w:t>.</w:t>
      </w:r>
    </w:p>
    <w:p w14:paraId="0A20A3AE" w14:textId="586D7927" w:rsidR="00E80177" w:rsidRPr="00E80177" w:rsidRDefault="00E80177" w:rsidP="00E80177">
      <w:pPr>
        <w:rPr>
          <w:szCs w:val="24"/>
        </w:rPr>
      </w:pPr>
      <w:r w:rsidRPr="00E80177">
        <w:rPr>
          <w:szCs w:val="24"/>
        </w:rPr>
        <w:t>Sephardi Ladino culture came to dominate Anatolia and the Balkans. Arabic-speaking (Musta</w:t>
      </w:r>
      <w:r w:rsidR="00025B7A">
        <w:rPr>
          <w:szCs w:val="24"/>
        </w:rPr>
        <w:t>'</w:t>
      </w:r>
      <w:r w:rsidRPr="00E80177">
        <w:rPr>
          <w:szCs w:val="24"/>
        </w:rPr>
        <w:t>arab and Mizrahi) communities continued in Iraq, Syria and Egypt. Yemen and Safavid and Qajar Iran stayed more isolated and were often subject to harsher rules, such as Shi</w:t>
      </w:r>
      <w:r w:rsidR="00025B7A">
        <w:rPr>
          <w:szCs w:val="24"/>
        </w:rPr>
        <w:t>'</w:t>
      </w:r>
      <w:r w:rsidRPr="00E80177">
        <w:rPr>
          <w:szCs w:val="24"/>
        </w:rPr>
        <w:t xml:space="preserve">i purity restrictions in Iran. The 19th </w:t>
      </w:r>
      <w:r w:rsidR="00025B7A">
        <w:rPr>
          <w:szCs w:val="24"/>
        </w:rPr>
        <w:t>C</w:t>
      </w:r>
      <w:r w:rsidRPr="00E80177">
        <w:rPr>
          <w:szCs w:val="24"/>
        </w:rPr>
        <w:t>entury brought several major changes:</w:t>
      </w:r>
    </w:p>
    <w:p w14:paraId="21340A80" w14:textId="77777777" w:rsidR="00E80177" w:rsidRPr="00E80177" w:rsidRDefault="00E80177" w:rsidP="00E80177">
      <w:pPr>
        <w:numPr>
          <w:ilvl w:val="0"/>
          <w:numId w:val="9"/>
        </w:numPr>
        <w:rPr>
          <w:szCs w:val="24"/>
        </w:rPr>
      </w:pPr>
      <w:r w:rsidRPr="00E80177">
        <w:rPr>
          <w:b/>
          <w:bCs/>
          <w:szCs w:val="24"/>
        </w:rPr>
        <w:t>Tanzimat reforms</w:t>
      </w:r>
      <w:r w:rsidRPr="00E80177">
        <w:rPr>
          <w:szCs w:val="24"/>
        </w:rPr>
        <w:t xml:space="preserve"> gave non-Muslims formal legal equality.</w:t>
      </w:r>
    </w:p>
    <w:p w14:paraId="6483A47E" w14:textId="48AF593B" w:rsidR="00E80177" w:rsidRPr="00E80177" w:rsidRDefault="00E80177" w:rsidP="00E80177">
      <w:pPr>
        <w:numPr>
          <w:ilvl w:val="0"/>
          <w:numId w:val="9"/>
        </w:numPr>
        <w:rPr>
          <w:szCs w:val="24"/>
        </w:rPr>
      </w:pPr>
      <w:r w:rsidRPr="00E80177">
        <w:rPr>
          <w:b/>
          <w:bCs/>
          <w:szCs w:val="24"/>
        </w:rPr>
        <w:t>Western influence</w:t>
      </w:r>
      <w:r w:rsidRPr="00E80177">
        <w:rPr>
          <w:szCs w:val="24"/>
        </w:rPr>
        <w:t xml:space="preserve"> arrived through the Alliance Isra</w:t>
      </w:r>
      <w:r w:rsidR="009201ED">
        <w:rPr>
          <w:szCs w:val="24"/>
        </w:rPr>
        <w:t>e</w:t>
      </w:r>
      <w:r w:rsidRPr="00E80177">
        <w:rPr>
          <w:szCs w:val="24"/>
        </w:rPr>
        <w:t>lite Universelle schools.</w:t>
      </w:r>
    </w:p>
    <w:p w14:paraId="294A675E" w14:textId="77777777" w:rsidR="00E80177" w:rsidRPr="00E80177" w:rsidRDefault="00E80177" w:rsidP="00E80177">
      <w:pPr>
        <w:numPr>
          <w:ilvl w:val="0"/>
          <w:numId w:val="9"/>
        </w:numPr>
        <w:rPr>
          <w:szCs w:val="24"/>
        </w:rPr>
      </w:pPr>
      <w:r w:rsidRPr="00E80177">
        <w:rPr>
          <w:b/>
          <w:bCs/>
          <w:szCs w:val="24"/>
        </w:rPr>
        <w:t>Blood libels</w:t>
      </w:r>
      <w:r w:rsidRPr="00E80177">
        <w:rPr>
          <w:szCs w:val="24"/>
        </w:rPr>
        <w:t xml:space="preserve"> appeared, beginning with Damascus in 1840.</w:t>
      </w:r>
    </w:p>
    <w:p w14:paraId="266C42B6" w14:textId="2AA7D151" w:rsidR="00E80177" w:rsidRPr="00E80177" w:rsidRDefault="00E80177" w:rsidP="00E80177">
      <w:pPr>
        <w:numPr>
          <w:ilvl w:val="0"/>
          <w:numId w:val="9"/>
        </w:numPr>
        <w:rPr>
          <w:szCs w:val="24"/>
        </w:rPr>
      </w:pPr>
      <w:r w:rsidRPr="00E80177">
        <w:rPr>
          <w:b/>
          <w:bCs/>
          <w:szCs w:val="24"/>
        </w:rPr>
        <w:t>Immigration to Palestine</w:t>
      </w:r>
      <w:r w:rsidRPr="00E80177">
        <w:rPr>
          <w:szCs w:val="24"/>
        </w:rPr>
        <w:t xml:space="preserve"> grew, joining the Old Yishuv and</w:t>
      </w:r>
      <w:r w:rsidR="00025B7A">
        <w:rPr>
          <w:szCs w:val="24"/>
        </w:rPr>
        <w:t>,</w:t>
      </w:r>
      <w:r w:rsidRPr="00E80177">
        <w:rPr>
          <w:szCs w:val="24"/>
        </w:rPr>
        <w:t xml:space="preserve"> from 1882</w:t>
      </w:r>
      <w:r w:rsidR="00025B7A">
        <w:rPr>
          <w:szCs w:val="24"/>
        </w:rPr>
        <w:t>,</w:t>
      </w:r>
      <w:r w:rsidRPr="00E80177">
        <w:rPr>
          <w:szCs w:val="24"/>
        </w:rPr>
        <w:t xml:space="preserve"> bringing Zionist settlers.</w:t>
      </w:r>
    </w:p>
    <w:p w14:paraId="2248177C" w14:textId="77777777" w:rsidR="00E80177" w:rsidRPr="00E80177" w:rsidRDefault="00E80177" w:rsidP="00E80177">
      <w:pPr>
        <w:rPr>
          <w:b/>
          <w:bCs/>
          <w:szCs w:val="24"/>
        </w:rPr>
      </w:pPr>
      <w:r w:rsidRPr="00E80177">
        <w:rPr>
          <w:b/>
          <w:bCs/>
          <w:szCs w:val="24"/>
        </w:rPr>
        <w:t>Twentieth Century to Today</w:t>
      </w:r>
    </w:p>
    <w:p w14:paraId="42B9C1F2" w14:textId="77777777" w:rsidR="00E80177" w:rsidRPr="00E80177" w:rsidRDefault="00E80177" w:rsidP="00E80177">
      <w:pPr>
        <w:rPr>
          <w:szCs w:val="24"/>
        </w:rPr>
      </w:pPr>
      <w:r w:rsidRPr="00E80177">
        <w:rPr>
          <w:szCs w:val="24"/>
        </w:rPr>
        <w:t>After World War I, the British Mandate in Palestine and the new Arab states reshaped Jewish life. Rising Arab nationalism and the Palestine conflict sharpened tensions. Examples include the Farhud massacre in Baghdad in 1941 and the Aleppo riots of 1947.</w:t>
      </w:r>
    </w:p>
    <w:p w14:paraId="6B5228D8" w14:textId="38E4152A" w:rsidR="00E80177" w:rsidRPr="00E80177" w:rsidRDefault="00E80177" w:rsidP="00E80177">
      <w:pPr>
        <w:rPr>
          <w:szCs w:val="24"/>
        </w:rPr>
      </w:pPr>
      <w:r w:rsidRPr="00E80177">
        <w:rPr>
          <w:szCs w:val="24"/>
        </w:rPr>
        <w:t>Israel was established in 1948. By the early 1970s, about 900,000 Jews had migrated, fled or been expelled from Muslim-majority countries, and Iranian Jews left in a final wave after 1979, according to Wikipedia. Most of these Jews lived in North Africa, but the movement hit the Near East hard</w:t>
      </w:r>
      <w:r w:rsidR="00025B7A">
        <w:rPr>
          <w:szCs w:val="24"/>
        </w:rPr>
        <w:t>:</w:t>
      </w:r>
      <w:r w:rsidR="00025B7A" w:rsidRPr="00E80177">
        <w:rPr>
          <w:szCs w:val="24"/>
        </w:rPr>
        <w:t xml:space="preserve"> </w:t>
      </w:r>
    </w:p>
    <w:p w14:paraId="49F5CEB2" w14:textId="7B55137D" w:rsidR="00E80177" w:rsidRPr="00E80177" w:rsidRDefault="00E80177" w:rsidP="00E80177">
      <w:pPr>
        <w:numPr>
          <w:ilvl w:val="0"/>
          <w:numId w:val="10"/>
        </w:numPr>
        <w:rPr>
          <w:szCs w:val="24"/>
        </w:rPr>
      </w:pPr>
      <w:r w:rsidRPr="00E80177">
        <w:rPr>
          <w:b/>
          <w:bCs/>
          <w:szCs w:val="24"/>
        </w:rPr>
        <w:t>Yemen:</w:t>
      </w:r>
      <w:r w:rsidRPr="00E80177">
        <w:rPr>
          <w:szCs w:val="24"/>
        </w:rPr>
        <w:t xml:space="preserve"> about 45,000 Jews were flown out in Operation Magic Carpet (1949–50).</w:t>
      </w:r>
      <w:r w:rsidR="00025B7A" w:rsidRPr="00E80177">
        <w:rPr>
          <w:szCs w:val="24"/>
        </w:rPr>
        <w:t xml:space="preserve"> </w:t>
      </w:r>
    </w:p>
    <w:p w14:paraId="76074F9D" w14:textId="5C642B1C" w:rsidR="00E80177" w:rsidRPr="00E80177" w:rsidRDefault="00E80177" w:rsidP="00E80177">
      <w:pPr>
        <w:numPr>
          <w:ilvl w:val="0"/>
          <w:numId w:val="10"/>
        </w:numPr>
        <w:rPr>
          <w:szCs w:val="24"/>
        </w:rPr>
      </w:pPr>
      <w:r w:rsidRPr="00E80177">
        <w:rPr>
          <w:b/>
          <w:bCs/>
          <w:szCs w:val="24"/>
        </w:rPr>
        <w:t>Iraq:</w:t>
      </w:r>
      <w:r w:rsidRPr="00E80177">
        <w:rPr>
          <w:szCs w:val="24"/>
        </w:rPr>
        <w:t xml:space="preserve"> a 1950 law let Jews leave if they gave up their citizenship, and about 120,000 left within a year, ending a community roughly 2,500 years old.</w:t>
      </w:r>
      <w:r w:rsidR="00025B7A" w:rsidRPr="00E80177">
        <w:rPr>
          <w:szCs w:val="24"/>
        </w:rPr>
        <w:t xml:space="preserve"> </w:t>
      </w:r>
    </w:p>
    <w:p w14:paraId="2AAF55EF" w14:textId="309BC373" w:rsidR="00E80177" w:rsidRPr="00E80177" w:rsidRDefault="00E80177" w:rsidP="00025B7A">
      <w:pPr>
        <w:rPr>
          <w:szCs w:val="24"/>
        </w:rPr>
      </w:pPr>
      <w:r w:rsidRPr="00E80177">
        <w:rPr>
          <w:szCs w:val="24"/>
        </w:rPr>
        <w:t>Today</w:t>
      </w:r>
      <w:r w:rsidR="00025B7A">
        <w:rPr>
          <w:szCs w:val="24"/>
        </w:rPr>
        <w:t>, Near Eastern Jewish life centres</w:t>
      </w:r>
      <w:r w:rsidRPr="00E80177">
        <w:rPr>
          <w:szCs w:val="24"/>
        </w:rPr>
        <w:t xml:space="preserve"> in Israel, where Mizrahi Jews make up a large part of the population. Turkey and Iran still have significant communities. The ancient communities of Iraq, Syria, Egypt and Yemen have almost entirely disappeared.</w:t>
      </w:r>
    </w:p>
    <w:p w14:paraId="200C82C9" w14:textId="4735E275" w:rsidR="00025B7A" w:rsidRPr="00025B7A" w:rsidRDefault="00025B7A" w:rsidP="00025B7A">
      <w:pPr>
        <w:rPr>
          <w:rFonts w:cs="Times New Roman"/>
          <w:b/>
          <w:bCs/>
          <w:szCs w:val="24"/>
        </w:rPr>
      </w:pPr>
      <w:r w:rsidRPr="00025B7A">
        <w:rPr>
          <w:rFonts w:cs="Times New Roman"/>
          <w:b/>
          <w:bCs/>
          <w:szCs w:val="24"/>
        </w:rPr>
        <w:lastRenderedPageBreak/>
        <w:t>Ancient Era &amp; Antiquity (6th Century BCE – 7th Century CE)</w:t>
      </w:r>
    </w:p>
    <w:p w14:paraId="1B02266C" w14:textId="17EBB1D6" w:rsidR="00025B7A" w:rsidRPr="00025B7A" w:rsidRDefault="00025B7A" w:rsidP="00025B7A">
      <w:pPr>
        <w:rPr>
          <w:rFonts w:cs="Times New Roman"/>
          <w:szCs w:val="24"/>
        </w:rPr>
      </w:pPr>
      <w:r w:rsidRPr="00025B7A">
        <w:rPr>
          <w:rFonts w:cs="Times New Roman"/>
          <w:szCs w:val="24"/>
        </w:rPr>
        <w:t xml:space="preserve">Following the </w:t>
      </w:r>
      <w:r w:rsidRPr="00025B7A">
        <w:rPr>
          <w:rFonts w:cs="Times New Roman"/>
          <w:b/>
          <w:bCs/>
          <w:szCs w:val="24"/>
        </w:rPr>
        <w:t>Babylonian Exile (586 BCE)</w:t>
      </w:r>
      <w:r w:rsidRPr="00025B7A">
        <w:rPr>
          <w:rFonts w:cs="Times New Roman"/>
          <w:szCs w:val="24"/>
        </w:rPr>
        <w:t>, the Near East became the dual epicent</w:t>
      </w:r>
      <w:r>
        <w:rPr>
          <w:rFonts w:cs="Times New Roman"/>
          <w:szCs w:val="24"/>
        </w:rPr>
        <w:t>re</w:t>
      </w:r>
      <w:r w:rsidRPr="00025B7A">
        <w:rPr>
          <w:rFonts w:cs="Times New Roman"/>
          <w:szCs w:val="24"/>
        </w:rPr>
        <w:t xml:space="preserve"> of the global Jewish population: </w:t>
      </w:r>
    </w:p>
    <w:p w14:paraId="3C88C910" w14:textId="2693FF8A" w:rsidR="00025B7A" w:rsidRPr="00025B7A" w:rsidRDefault="00025B7A" w:rsidP="00025B7A">
      <w:pPr>
        <w:numPr>
          <w:ilvl w:val="0"/>
          <w:numId w:val="11"/>
        </w:numPr>
        <w:rPr>
          <w:rFonts w:cs="Times New Roman"/>
          <w:szCs w:val="24"/>
        </w:rPr>
      </w:pPr>
      <w:r w:rsidRPr="00025B7A">
        <w:rPr>
          <w:rFonts w:cs="Times New Roman"/>
          <w:b/>
          <w:bCs/>
          <w:szCs w:val="24"/>
        </w:rPr>
        <w:t>The Persian Return &amp; Yehud (538 BCE):</w:t>
      </w:r>
      <w:r w:rsidRPr="00025B7A">
        <w:rPr>
          <w:rFonts w:cs="Times New Roman"/>
          <w:szCs w:val="24"/>
        </w:rPr>
        <w:t xml:space="preserve"> When Cyrus the Great permitted the exiles to return, only about </w:t>
      </w:r>
      <w:r w:rsidRPr="00025B7A">
        <w:rPr>
          <w:rFonts w:cs="Times New Roman"/>
          <w:b/>
          <w:bCs/>
          <w:szCs w:val="24"/>
        </w:rPr>
        <w:t>42,360 Jews</w:t>
      </w:r>
      <w:r w:rsidRPr="00025B7A">
        <w:rPr>
          <w:rFonts w:cs="Times New Roman"/>
          <w:szCs w:val="24"/>
        </w:rPr>
        <w:t xml:space="preserve"> relocated to the province of Yehud (Judea) to rebuild the Temple. By the time of Nehemiah (5th century BCE), </w:t>
      </w:r>
      <w:r>
        <w:rPr>
          <w:rFonts w:cs="Times New Roman"/>
          <w:szCs w:val="24"/>
        </w:rPr>
        <w:t>Jerusalem's population</w:t>
      </w:r>
      <w:r w:rsidRPr="00025B7A">
        <w:rPr>
          <w:rFonts w:cs="Times New Roman"/>
          <w:szCs w:val="24"/>
        </w:rPr>
        <w:t xml:space="preserve"> was tiny, estimated at around 500 residents. </w:t>
      </w:r>
    </w:p>
    <w:p w14:paraId="66963DC2" w14:textId="63F1008F" w:rsidR="00025B7A" w:rsidRPr="00025B7A" w:rsidRDefault="00025B7A" w:rsidP="00025B7A">
      <w:pPr>
        <w:numPr>
          <w:ilvl w:val="0"/>
          <w:numId w:val="11"/>
        </w:numPr>
        <w:rPr>
          <w:rFonts w:cs="Times New Roman"/>
          <w:szCs w:val="24"/>
        </w:rPr>
      </w:pPr>
      <w:r w:rsidRPr="00025B7A">
        <w:rPr>
          <w:rFonts w:cs="Times New Roman"/>
          <w:b/>
          <w:bCs/>
          <w:szCs w:val="24"/>
        </w:rPr>
        <w:t>The Roman and Second Temple Peak (1st Century BCE – 1st Century CE):</w:t>
      </w:r>
      <w:r w:rsidRPr="00025B7A">
        <w:rPr>
          <w:rFonts w:cs="Times New Roman"/>
          <w:szCs w:val="24"/>
        </w:rPr>
        <w:t xml:space="preserve"> Population levels surged dramatically via natural growth and urbanization. Historians estimate that around the 1st </w:t>
      </w:r>
      <w:r>
        <w:rPr>
          <w:rFonts w:cs="Times New Roman"/>
          <w:szCs w:val="24"/>
        </w:rPr>
        <w:t>C</w:t>
      </w:r>
      <w:r w:rsidRPr="00025B7A">
        <w:rPr>
          <w:rFonts w:cs="Times New Roman"/>
          <w:szCs w:val="24"/>
        </w:rPr>
        <w:t xml:space="preserve">entury, </w:t>
      </w:r>
      <w:r>
        <w:rPr>
          <w:rFonts w:cs="Times New Roman"/>
          <w:szCs w:val="24"/>
        </w:rPr>
        <w:t>Judea had roughly 1 to 2 million Jews, and Babylonia (Mesopotamia), Egypt (chiefly Alexandria), and Syria/Asia Minor each had approximately 1 million</w:t>
      </w:r>
      <w:r w:rsidRPr="00025B7A">
        <w:rPr>
          <w:rFonts w:cs="Times New Roman"/>
          <w:szCs w:val="24"/>
        </w:rPr>
        <w:t xml:space="preserve">. </w:t>
      </w:r>
    </w:p>
    <w:p w14:paraId="2CCC183D" w14:textId="09EB98D3" w:rsidR="00025B7A" w:rsidRPr="00025B7A" w:rsidRDefault="00025B7A" w:rsidP="00025B7A">
      <w:pPr>
        <w:numPr>
          <w:ilvl w:val="0"/>
          <w:numId w:val="11"/>
        </w:numPr>
        <w:rPr>
          <w:rFonts w:cs="Times New Roman"/>
          <w:szCs w:val="24"/>
        </w:rPr>
      </w:pPr>
      <w:r w:rsidRPr="00025B7A">
        <w:rPr>
          <w:rFonts w:cs="Times New Roman"/>
          <w:b/>
          <w:bCs/>
          <w:szCs w:val="24"/>
        </w:rPr>
        <w:t>The Shift to Babylonia (200 CE – 500 CE):</w:t>
      </w:r>
      <w:r w:rsidRPr="00025B7A">
        <w:rPr>
          <w:rFonts w:cs="Times New Roman"/>
          <w:szCs w:val="24"/>
        </w:rPr>
        <w:t xml:space="preserve"> Following the catastrophic failed Jewish-Roman wars and the Bar Kokhba revolt (135 CE) in Judea, the center of </w:t>
      </w:r>
      <w:r>
        <w:rPr>
          <w:rFonts w:cs="Times New Roman"/>
          <w:szCs w:val="24"/>
        </w:rPr>
        <w:t xml:space="preserve">the </w:t>
      </w:r>
      <w:r w:rsidRPr="00025B7A">
        <w:rPr>
          <w:rFonts w:cs="Times New Roman"/>
          <w:szCs w:val="24"/>
        </w:rPr>
        <w:t xml:space="preserve">Jewish population shifted east. The Jewish population in Babylonia grew to an estimated </w:t>
      </w:r>
      <w:r w:rsidRPr="00025B7A">
        <w:rPr>
          <w:rFonts w:cs="Times New Roman"/>
          <w:b/>
          <w:bCs/>
          <w:szCs w:val="24"/>
        </w:rPr>
        <w:t>1 to 2 million people</w:t>
      </w:r>
      <w:r w:rsidRPr="00025B7A">
        <w:rPr>
          <w:rFonts w:cs="Times New Roman"/>
          <w:szCs w:val="24"/>
        </w:rPr>
        <w:t xml:space="preserve">, </w:t>
      </w:r>
      <w:r>
        <w:rPr>
          <w:rFonts w:cs="Times New Roman"/>
          <w:szCs w:val="24"/>
        </w:rPr>
        <w:t>making up roughly 10% to 12% of the local population and helping shape</w:t>
      </w:r>
      <w:r w:rsidRPr="00025B7A">
        <w:rPr>
          <w:rFonts w:cs="Times New Roman"/>
          <w:szCs w:val="24"/>
        </w:rPr>
        <w:t xml:space="preserve"> the Babylonian Talmud. </w:t>
      </w:r>
    </w:p>
    <w:p w14:paraId="2CCAB10E" w14:textId="77777777" w:rsidR="00025B7A" w:rsidRPr="00025B7A" w:rsidRDefault="00025B7A" w:rsidP="00025B7A">
      <w:pPr>
        <w:rPr>
          <w:rFonts w:cs="Times New Roman"/>
          <w:szCs w:val="24"/>
        </w:rPr>
      </w:pPr>
      <w:r w:rsidRPr="00025B7A">
        <w:rPr>
          <w:rFonts w:cs="Times New Roman"/>
          <w:szCs w:val="24"/>
        </w:rPr>
        <w:pict w14:anchorId="65C3AF35">
          <v:rect id="_x0000_i1030" style="width:0;height:1.5pt" o:hralign="center" o:hrstd="t" o:hr="t" fillcolor="#a0a0a0" stroked="f"/>
        </w:pict>
      </w:r>
    </w:p>
    <w:p w14:paraId="76F73834" w14:textId="44BA6E51" w:rsidR="00025B7A" w:rsidRPr="00025B7A" w:rsidRDefault="00025B7A" w:rsidP="00025B7A">
      <w:pPr>
        <w:rPr>
          <w:rFonts w:cs="Times New Roman"/>
          <w:b/>
          <w:bCs/>
          <w:szCs w:val="24"/>
        </w:rPr>
      </w:pPr>
      <w:r w:rsidRPr="00025B7A">
        <w:rPr>
          <w:rFonts w:cs="Times New Roman"/>
          <w:b/>
          <w:bCs/>
          <w:szCs w:val="24"/>
        </w:rPr>
        <w:t>Medieval Era &amp; Islamic Rule (7th Century – 18th Century)</w:t>
      </w:r>
    </w:p>
    <w:p w14:paraId="05342618" w14:textId="77777777" w:rsidR="00025B7A" w:rsidRPr="00025B7A" w:rsidRDefault="00025B7A" w:rsidP="00025B7A">
      <w:pPr>
        <w:rPr>
          <w:rFonts w:cs="Times New Roman"/>
          <w:szCs w:val="24"/>
        </w:rPr>
      </w:pPr>
      <w:r w:rsidRPr="00025B7A">
        <w:rPr>
          <w:rFonts w:cs="Times New Roman"/>
          <w:szCs w:val="24"/>
        </w:rPr>
        <w:t>The Arab-Islamic conquests unified the major Near Eastern Jewish populations under a single legal status (</w:t>
      </w:r>
      <w:r w:rsidRPr="00025B7A">
        <w:rPr>
          <w:rFonts w:cs="Times New Roman"/>
          <w:i/>
          <w:iCs/>
          <w:szCs w:val="24"/>
        </w:rPr>
        <w:t>Dhimmi</w:t>
      </w:r>
      <w:r w:rsidRPr="00025B7A">
        <w:rPr>
          <w:rFonts w:cs="Times New Roman"/>
          <w:szCs w:val="24"/>
        </w:rPr>
        <w:t>).</w:t>
      </w:r>
    </w:p>
    <w:p w14:paraId="3CA61C4B" w14:textId="5BA2EB32" w:rsidR="00025B7A" w:rsidRPr="00025B7A" w:rsidRDefault="00025B7A" w:rsidP="00025B7A">
      <w:pPr>
        <w:numPr>
          <w:ilvl w:val="0"/>
          <w:numId w:val="12"/>
        </w:numPr>
        <w:rPr>
          <w:rFonts w:cs="Times New Roman"/>
          <w:szCs w:val="24"/>
        </w:rPr>
      </w:pPr>
      <w:r w:rsidRPr="00025B7A">
        <w:rPr>
          <w:rFonts w:cs="Times New Roman"/>
          <w:b/>
          <w:bCs/>
          <w:szCs w:val="24"/>
        </w:rPr>
        <w:t>The Global Majority (12th Century):</w:t>
      </w:r>
      <w:r w:rsidRPr="00025B7A">
        <w:rPr>
          <w:rFonts w:cs="Times New Roman"/>
          <w:szCs w:val="24"/>
        </w:rPr>
        <w:t xml:space="preserve"> Historical demographic models indicate that as late as 1170 CE, Asia (primarily the Middle East) held the largest concentration of Jews in the world. Out of a global Jewish population of roughly 1.2 million, </w:t>
      </w:r>
      <w:r w:rsidRPr="00025B7A">
        <w:rPr>
          <w:rFonts w:cs="Times New Roman"/>
          <w:b/>
          <w:bCs/>
          <w:szCs w:val="24"/>
        </w:rPr>
        <w:t>over 80% (approx. 960,000–1 million) lived in the Near/Middle East</w:t>
      </w:r>
      <w:r w:rsidRPr="00025B7A">
        <w:rPr>
          <w:rFonts w:cs="Times New Roman"/>
          <w:szCs w:val="24"/>
        </w:rPr>
        <w:t xml:space="preserve">, mainly in Iraq, Iran, and the Arabian Peninsula. </w:t>
      </w:r>
    </w:p>
    <w:p w14:paraId="4B983E37" w14:textId="7D295697" w:rsidR="00025B7A" w:rsidRPr="00025B7A" w:rsidRDefault="00025B7A" w:rsidP="00025B7A">
      <w:pPr>
        <w:numPr>
          <w:ilvl w:val="0"/>
          <w:numId w:val="12"/>
        </w:numPr>
        <w:rPr>
          <w:rFonts w:cs="Times New Roman"/>
          <w:szCs w:val="24"/>
        </w:rPr>
      </w:pPr>
      <w:r w:rsidRPr="00025B7A">
        <w:rPr>
          <w:rFonts w:cs="Times New Roman"/>
          <w:b/>
          <w:bCs/>
          <w:szCs w:val="24"/>
        </w:rPr>
        <w:t>The Ottoman Period (16th</w:t>
      </w:r>
      <w:r>
        <w:rPr>
          <w:rFonts w:cs="Times New Roman"/>
          <w:b/>
          <w:bCs/>
          <w:szCs w:val="24"/>
        </w:rPr>
        <w:t>–18th Century): Over the centuries, economic shifts, plagues, and wars reduced the Near Eastern Jewish population and concentrated it in smaller,</w:t>
      </w:r>
      <w:r w:rsidRPr="00025B7A">
        <w:rPr>
          <w:rFonts w:cs="Times New Roman"/>
          <w:szCs w:val="24"/>
        </w:rPr>
        <w:t xml:space="preserve"> urban merchant communities. Following the Spanish Expulsion in 1492, thousands of Sephardic Jews arrived in the Ottoman Empire, revitalizing areas like the Levant (Syria/Palestine) and Turkey. By 1517, the population of Israel/Palestine itself was relatively low, with Jews making up about 1.7% (~5,000 people) of the total population. </w:t>
      </w:r>
    </w:p>
    <w:p w14:paraId="2A979D12" w14:textId="77777777" w:rsidR="00025B7A" w:rsidRPr="00025B7A" w:rsidRDefault="00025B7A" w:rsidP="00025B7A">
      <w:pPr>
        <w:rPr>
          <w:rFonts w:cs="Times New Roman"/>
          <w:szCs w:val="24"/>
        </w:rPr>
      </w:pPr>
      <w:r w:rsidRPr="00025B7A">
        <w:rPr>
          <w:rFonts w:cs="Times New Roman"/>
          <w:szCs w:val="24"/>
        </w:rPr>
        <w:pict w14:anchorId="1F256597">
          <v:rect id="_x0000_i1031" style="width:0;height:1.5pt" o:hralign="center" o:hrstd="t" o:hr="t" fillcolor="#a0a0a0" stroked="f"/>
        </w:pict>
      </w:r>
    </w:p>
    <w:p w14:paraId="15719442" w14:textId="36B07EFD" w:rsidR="00025B7A" w:rsidRPr="00025B7A" w:rsidRDefault="00025B7A" w:rsidP="00025B7A">
      <w:pPr>
        <w:rPr>
          <w:rFonts w:cs="Times New Roman"/>
          <w:b/>
          <w:bCs/>
          <w:szCs w:val="24"/>
        </w:rPr>
      </w:pPr>
      <w:r w:rsidRPr="00025B7A">
        <w:rPr>
          <w:rFonts w:cs="Times New Roman"/>
          <w:b/>
          <w:bCs/>
          <w:szCs w:val="24"/>
        </w:rPr>
        <w:t>Modern &amp; Contemporary Period (19th Century – Present)</w:t>
      </w:r>
    </w:p>
    <w:p w14:paraId="41515DDA" w14:textId="74F0729E" w:rsidR="00025B7A" w:rsidRPr="00025B7A" w:rsidRDefault="00025B7A" w:rsidP="00025B7A">
      <w:pPr>
        <w:rPr>
          <w:rFonts w:cs="Times New Roman"/>
          <w:szCs w:val="24"/>
        </w:rPr>
      </w:pPr>
      <w:r w:rsidRPr="00025B7A">
        <w:rPr>
          <w:rFonts w:cs="Times New Roman"/>
          <w:szCs w:val="24"/>
        </w:rPr>
        <w:t xml:space="preserve">The 20th </w:t>
      </w:r>
      <w:r>
        <w:rPr>
          <w:rFonts w:cs="Times New Roman"/>
          <w:szCs w:val="24"/>
        </w:rPr>
        <w:t>C</w:t>
      </w:r>
      <w:r w:rsidRPr="00025B7A">
        <w:rPr>
          <w:rFonts w:cs="Times New Roman"/>
          <w:szCs w:val="24"/>
        </w:rPr>
        <w:t>entury saw the most drastic demographic realignment in Near Eastern Jewish history.</w:t>
      </w:r>
    </w:p>
    <w:p w14:paraId="698A3EAC" w14:textId="77777777" w:rsidR="00025B7A" w:rsidRPr="00025B7A" w:rsidRDefault="00025B7A" w:rsidP="00025B7A">
      <w:pPr>
        <w:rPr>
          <w:rFonts w:cs="Times New Roman"/>
          <w:szCs w:val="24"/>
        </w:rPr>
      </w:pPr>
      <w:r w:rsidRPr="00025B7A">
        <w:rPr>
          <w:rFonts w:cs="Times New Roman"/>
          <w:szCs w:val="24"/>
        </w:rPr>
        <w:lastRenderedPageBreak/>
        <w:t>Middle Eastern Jewish Population Shifts (Selected Countries)</w:t>
      </w:r>
    </w:p>
    <w:p w14:paraId="77933B73" w14:textId="77777777" w:rsidR="00025B7A" w:rsidRPr="00025B7A" w:rsidRDefault="00025B7A" w:rsidP="00025B7A">
      <w:pPr>
        <w:rPr>
          <w:rFonts w:cs="Times New Roman"/>
          <w:szCs w:val="24"/>
        </w:rPr>
      </w:pPr>
      <w:r w:rsidRPr="00025B7A">
        <w:rPr>
          <w:rFonts w:cs="Times New Roman"/>
          <w:szCs w:val="24"/>
        </w:rPr>
        <w:t>┌──────────────────────┬───────────────────┬────────────────────┐</w:t>
      </w:r>
    </w:p>
    <w:p w14:paraId="665CAB5A" w14:textId="77777777" w:rsidR="00025B7A" w:rsidRPr="00025B7A" w:rsidRDefault="00025B7A" w:rsidP="00025B7A">
      <w:pPr>
        <w:rPr>
          <w:rFonts w:cs="Times New Roman"/>
          <w:szCs w:val="24"/>
        </w:rPr>
      </w:pPr>
      <w:r w:rsidRPr="00025B7A">
        <w:rPr>
          <w:rFonts w:cs="Times New Roman"/>
          <w:szCs w:val="24"/>
        </w:rPr>
        <w:t>│ Country              │ 1948 Population   │ Present Day Pop.   │</w:t>
      </w:r>
    </w:p>
    <w:p w14:paraId="0C269036" w14:textId="77777777" w:rsidR="00025B7A" w:rsidRPr="00025B7A" w:rsidRDefault="00025B7A" w:rsidP="00025B7A">
      <w:pPr>
        <w:rPr>
          <w:rFonts w:cs="Times New Roman"/>
          <w:szCs w:val="24"/>
        </w:rPr>
      </w:pPr>
      <w:r w:rsidRPr="00025B7A">
        <w:rPr>
          <w:rFonts w:cs="Times New Roman"/>
          <w:szCs w:val="24"/>
        </w:rPr>
        <w:t>├──────────────────────┼───────────────────┼────────────────────┤</w:t>
      </w:r>
    </w:p>
    <w:p w14:paraId="3E772C67" w14:textId="77777777" w:rsidR="00025B7A" w:rsidRPr="00025B7A" w:rsidRDefault="00025B7A" w:rsidP="00025B7A">
      <w:pPr>
        <w:rPr>
          <w:rFonts w:cs="Times New Roman"/>
          <w:szCs w:val="24"/>
        </w:rPr>
      </w:pPr>
      <w:r w:rsidRPr="00025B7A">
        <w:rPr>
          <w:rFonts w:cs="Times New Roman"/>
          <w:szCs w:val="24"/>
        </w:rPr>
        <w:t>│ Iraq                 │ ~135,000          │ &lt; 10               │</w:t>
      </w:r>
    </w:p>
    <w:p w14:paraId="7CEF3B83" w14:textId="77777777" w:rsidR="00025B7A" w:rsidRPr="00025B7A" w:rsidRDefault="00025B7A" w:rsidP="00025B7A">
      <w:pPr>
        <w:rPr>
          <w:rFonts w:cs="Times New Roman"/>
          <w:szCs w:val="24"/>
        </w:rPr>
      </w:pPr>
      <w:r w:rsidRPr="00025B7A">
        <w:rPr>
          <w:rFonts w:cs="Times New Roman"/>
          <w:szCs w:val="24"/>
        </w:rPr>
        <w:t>│ Egypt                │ ~75,000           │ &lt; 20               │</w:t>
      </w:r>
    </w:p>
    <w:p w14:paraId="00CB1777" w14:textId="77777777" w:rsidR="00025B7A" w:rsidRPr="00025B7A" w:rsidRDefault="00025B7A" w:rsidP="00025B7A">
      <w:pPr>
        <w:rPr>
          <w:rFonts w:cs="Times New Roman"/>
          <w:szCs w:val="24"/>
        </w:rPr>
      </w:pPr>
      <w:r w:rsidRPr="00025B7A">
        <w:rPr>
          <w:rFonts w:cs="Times New Roman"/>
          <w:szCs w:val="24"/>
        </w:rPr>
        <w:t>│ Yemen                │ ~55,000-63,000    │ &lt; 10               │</w:t>
      </w:r>
    </w:p>
    <w:p w14:paraId="0A4FE1E9" w14:textId="77777777" w:rsidR="00025B7A" w:rsidRPr="00025B7A" w:rsidRDefault="00025B7A" w:rsidP="00025B7A">
      <w:pPr>
        <w:rPr>
          <w:rFonts w:cs="Times New Roman"/>
          <w:szCs w:val="24"/>
        </w:rPr>
      </w:pPr>
      <w:r w:rsidRPr="00025B7A">
        <w:rPr>
          <w:rFonts w:cs="Times New Roman"/>
          <w:szCs w:val="24"/>
        </w:rPr>
        <w:t>│ Syria                │ ~30,000           │ &lt; 20               │</w:t>
      </w:r>
    </w:p>
    <w:p w14:paraId="359A6B88" w14:textId="77777777" w:rsidR="00025B7A" w:rsidRPr="00025B7A" w:rsidRDefault="00025B7A" w:rsidP="00025B7A">
      <w:pPr>
        <w:rPr>
          <w:rFonts w:cs="Times New Roman"/>
          <w:szCs w:val="24"/>
        </w:rPr>
      </w:pPr>
      <w:r w:rsidRPr="00025B7A">
        <w:rPr>
          <w:rFonts w:cs="Times New Roman"/>
          <w:szCs w:val="24"/>
        </w:rPr>
        <w:t>│ Iran                 │ ~80,000-100,000   │ ~8,500             │</w:t>
      </w:r>
    </w:p>
    <w:p w14:paraId="001C151E" w14:textId="77777777" w:rsidR="00025B7A" w:rsidRPr="00025B7A" w:rsidRDefault="00025B7A" w:rsidP="00025B7A">
      <w:pPr>
        <w:rPr>
          <w:rFonts w:cs="Times New Roman"/>
          <w:szCs w:val="24"/>
        </w:rPr>
      </w:pPr>
      <w:r w:rsidRPr="00025B7A">
        <w:rPr>
          <w:rFonts w:cs="Times New Roman"/>
          <w:szCs w:val="24"/>
        </w:rPr>
        <w:t>│ Israel/Palestine     │ ~630,000          │ ~7.4+ Million      │</w:t>
      </w:r>
    </w:p>
    <w:p w14:paraId="5062CD74" w14:textId="77777777" w:rsidR="00025B7A" w:rsidRPr="00025B7A" w:rsidRDefault="00025B7A" w:rsidP="00025B7A">
      <w:pPr>
        <w:rPr>
          <w:rFonts w:cs="Times New Roman"/>
          <w:szCs w:val="24"/>
        </w:rPr>
      </w:pPr>
      <w:r w:rsidRPr="00025B7A">
        <w:rPr>
          <w:rFonts w:cs="Times New Roman"/>
          <w:szCs w:val="24"/>
        </w:rPr>
        <w:t>└──────────────────────┴───────────────────┴────────────────────┘</w:t>
      </w:r>
    </w:p>
    <w:p w14:paraId="7970C5C3" w14:textId="77777777" w:rsidR="00025B7A" w:rsidRPr="00025B7A" w:rsidRDefault="00025B7A" w:rsidP="00025B7A">
      <w:pPr>
        <w:numPr>
          <w:ilvl w:val="0"/>
          <w:numId w:val="13"/>
        </w:numPr>
        <w:rPr>
          <w:rFonts w:cs="Times New Roman"/>
          <w:szCs w:val="24"/>
        </w:rPr>
      </w:pPr>
      <w:r w:rsidRPr="00025B7A">
        <w:rPr>
          <w:rFonts w:cs="Times New Roman"/>
          <w:b/>
          <w:bCs/>
          <w:szCs w:val="24"/>
        </w:rPr>
        <w:t>The Turn of the 20th Century:</w:t>
      </w:r>
      <w:r w:rsidRPr="00025B7A">
        <w:rPr>
          <w:rFonts w:cs="Times New Roman"/>
          <w:szCs w:val="24"/>
        </w:rPr>
        <w:t xml:space="preserve"> On the eve of World War II, the vast majority of the world's Jews lived in Europe and the Americas. Middle Eastern and North African (Mizrahi) Jews made up roughly </w:t>
      </w:r>
      <w:r w:rsidRPr="00025B7A">
        <w:rPr>
          <w:rFonts w:cs="Times New Roman"/>
          <w:b/>
          <w:bCs/>
          <w:szCs w:val="24"/>
        </w:rPr>
        <w:t>6% to 8% of the global Jewish population</w:t>
      </w:r>
      <w:r w:rsidRPr="00025B7A">
        <w:rPr>
          <w:rFonts w:cs="Times New Roman"/>
          <w:szCs w:val="24"/>
        </w:rPr>
        <w:t>, numbering close to one million across the entire region.</w:t>
      </w:r>
    </w:p>
    <w:p w14:paraId="765FC445" w14:textId="6950E939" w:rsidR="00025B7A" w:rsidRPr="00025B7A" w:rsidRDefault="00025B7A" w:rsidP="00025B7A">
      <w:pPr>
        <w:numPr>
          <w:ilvl w:val="0"/>
          <w:numId w:val="13"/>
        </w:numPr>
        <w:rPr>
          <w:rFonts w:cs="Times New Roman"/>
          <w:szCs w:val="24"/>
        </w:rPr>
      </w:pPr>
      <w:r w:rsidRPr="00025B7A">
        <w:rPr>
          <w:rFonts w:cs="Times New Roman"/>
          <w:b/>
          <w:bCs/>
          <w:szCs w:val="24"/>
        </w:rPr>
        <w:t>The 1948 Exodus:</w:t>
      </w:r>
      <w:r w:rsidRPr="00025B7A">
        <w:rPr>
          <w:rFonts w:cs="Times New Roman"/>
          <w:szCs w:val="24"/>
        </w:rPr>
        <w:t xml:space="preserve"> Following the declaration of the State of Israel in 1948 and the ensuing Arab-Israeli war, intense political persecution, anti-Jewish riots, and expulsions took place across the Arab world. Between 1948 and the mid-1950s, </w:t>
      </w:r>
      <w:r w:rsidRPr="00025B7A">
        <w:rPr>
          <w:rFonts w:cs="Times New Roman"/>
          <w:b/>
          <w:bCs/>
          <w:szCs w:val="24"/>
        </w:rPr>
        <w:t>over 850,000 Jews fled or were expelled</w:t>
      </w:r>
      <w:r w:rsidRPr="00025B7A">
        <w:rPr>
          <w:rFonts w:cs="Times New Roman"/>
          <w:szCs w:val="24"/>
        </w:rPr>
        <w:t xml:space="preserve"> from Arab nations. Mass airlifts, such as </w:t>
      </w:r>
      <w:r w:rsidRPr="00025B7A">
        <w:rPr>
          <w:rFonts w:cs="Times New Roman"/>
          <w:i/>
          <w:iCs/>
          <w:szCs w:val="24"/>
        </w:rPr>
        <w:t>Operation Ezra and Nehemiah</w:t>
      </w:r>
      <w:r w:rsidRPr="00025B7A">
        <w:rPr>
          <w:rFonts w:cs="Times New Roman"/>
          <w:szCs w:val="24"/>
        </w:rPr>
        <w:t xml:space="preserve"> (Iraq) and </w:t>
      </w:r>
      <w:r w:rsidRPr="00025B7A">
        <w:rPr>
          <w:rFonts w:cs="Times New Roman"/>
          <w:i/>
          <w:iCs/>
          <w:szCs w:val="24"/>
        </w:rPr>
        <w:t>Operation Magic Carpet</w:t>
      </w:r>
      <w:r w:rsidRPr="00025B7A">
        <w:rPr>
          <w:rFonts w:cs="Times New Roman"/>
          <w:szCs w:val="24"/>
        </w:rPr>
        <w:t xml:space="preserve"> (Yemen), virtually cleared entire ancient communities overnight.</w:t>
      </w:r>
    </w:p>
    <w:p w14:paraId="52F983C6" w14:textId="1E118045" w:rsidR="00025B7A" w:rsidRPr="00025B7A" w:rsidRDefault="00025B7A" w:rsidP="00025B7A">
      <w:pPr>
        <w:numPr>
          <w:ilvl w:val="0"/>
          <w:numId w:val="13"/>
        </w:numPr>
        <w:rPr>
          <w:rFonts w:cs="Times New Roman"/>
          <w:szCs w:val="24"/>
        </w:rPr>
      </w:pPr>
      <w:r w:rsidRPr="00025B7A">
        <w:rPr>
          <w:rFonts w:cs="Times New Roman"/>
          <w:b/>
          <w:bCs/>
          <w:szCs w:val="24"/>
        </w:rPr>
        <w:t>Current Demographics:</w:t>
      </w:r>
      <w:r w:rsidRPr="00025B7A">
        <w:rPr>
          <w:rFonts w:cs="Times New Roman"/>
          <w:szCs w:val="24"/>
        </w:rPr>
        <w:t xml:space="preserve"> Today, the Jewish population of the Near East outside of Israel has essentially disappeared, </w:t>
      </w:r>
      <w:r>
        <w:rPr>
          <w:rFonts w:cs="Times New Roman"/>
          <w:szCs w:val="24"/>
        </w:rPr>
        <w:t>except for</w:t>
      </w:r>
      <w:r w:rsidRPr="00025B7A">
        <w:rPr>
          <w:rFonts w:cs="Times New Roman"/>
          <w:szCs w:val="24"/>
        </w:rPr>
        <w:t xml:space="preserve"> a diminishing community in Iran and Turkey. Conversely, the Jewish population of Israel has grown from roughly 630,000 in 1948 to </w:t>
      </w:r>
      <w:r w:rsidRPr="00025B7A">
        <w:rPr>
          <w:rFonts w:cs="Times New Roman"/>
          <w:b/>
          <w:bCs/>
          <w:szCs w:val="24"/>
        </w:rPr>
        <w:t>over 7.4 million</w:t>
      </w:r>
      <w:r w:rsidRPr="00025B7A">
        <w:rPr>
          <w:rFonts w:cs="Times New Roman"/>
          <w:szCs w:val="24"/>
        </w:rPr>
        <w:t xml:space="preserve">, with more than half of Israeli Jews tracing all or part of their lineage back to those displaced Near Eastern and North African communities. </w:t>
      </w:r>
    </w:p>
    <w:p w14:paraId="593990D8" w14:textId="77777777" w:rsidR="00E80177" w:rsidRPr="00025B7A" w:rsidRDefault="00E80177">
      <w:pPr>
        <w:rPr>
          <w:rFonts w:cs="Times New Roman"/>
          <w:szCs w:val="24"/>
        </w:rPr>
      </w:pPr>
    </w:p>
    <w:sectPr w:rsidR="00E80177" w:rsidRPr="00025B7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952BA" w14:textId="77777777" w:rsidR="00C9068C" w:rsidRDefault="00C9068C" w:rsidP="00E80177">
      <w:pPr>
        <w:spacing w:after="0" w:line="240" w:lineRule="auto"/>
      </w:pPr>
      <w:r>
        <w:separator/>
      </w:r>
    </w:p>
  </w:endnote>
  <w:endnote w:type="continuationSeparator" w:id="0">
    <w:p w14:paraId="695A99F3" w14:textId="77777777" w:rsidR="00C9068C" w:rsidRDefault="00C9068C" w:rsidP="00E80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A6DBE" w14:textId="77777777" w:rsidR="00025B7A" w:rsidRDefault="00025B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C3944" w14:textId="338B8149" w:rsidR="00E80177" w:rsidRDefault="00E80177" w:rsidP="00025B7A">
    <w:pPr>
      <w:pStyle w:val="Footer"/>
    </w:pPr>
  </w:p>
  <w:p w14:paraId="3991AC22" w14:textId="77777777" w:rsidR="00E80177" w:rsidRDefault="00E801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7EA95" w14:textId="77777777" w:rsidR="00025B7A" w:rsidRDefault="00025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B93A7F" w14:textId="77777777" w:rsidR="00C9068C" w:rsidRDefault="00C9068C" w:rsidP="00E80177">
      <w:pPr>
        <w:spacing w:after="0" w:line="240" w:lineRule="auto"/>
      </w:pPr>
      <w:r>
        <w:separator/>
      </w:r>
    </w:p>
  </w:footnote>
  <w:footnote w:type="continuationSeparator" w:id="0">
    <w:p w14:paraId="629B8D6C" w14:textId="77777777" w:rsidR="00C9068C" w:rsidRDefault="00C9068C" w:rsidP="00E80177">
      <w:pPr>
        <w:spacing w:after="0" w:line="240" w:lineRule="auto"/>
      </w:pPr>
      <w:r>
        <w:continuationSeparator/>
      </w:r>
    </w:p>
  </w:footnote>
  <w:footnote w:id="1">
    <w:p w14:paraId="484D50BA" w14:textId="21ECA609" w:rsidR="009201ED" w:rsidRDefault="009201ED">
      <w:pPr>
        <w:pStyle w:val="FootnoteText"/>
      </w:pPr>
      <w:r>
        <w:rPr>
          <w:rStyle w:val="FootnoteReference"/>
        </w:rPr>
        <w:footnoteRef/>
      </w:r>
      <w:r>
        <w:t xml:space="preserve"> </w:t>
      </w:r>
      <w:r>
        <w:rPr>
          <w:rFonts w:ascii="Arial" w:hAnsi="Arial" w:cs="Arial"/>
        </w:rPr>
        <w:t xml:space="preserve">The </w:t>
      </w:r>
      <w:r>
        <w:rPr>
          <w:rStyle w:val="Strong"/>
          <w:rFonts w:ascii="Arial" w:hAnsi="Arial" w:cs="Arial"/>
        </w:rPr>
        <w:t>exilarchate</w:t>
      </w:r>
      <w:r>
        <w:t xml:space="preserve"> refers to the official office, term of office, or territory/community governed by an </w:t>
      </w:r>
      <w:r>
        <w:rPr>
          <w:rStyle w:val="Strong"/>
          <w:rFonts w:ascii="Arial" w:hAnsi="Arial" w:cs="Arial"/>
          <w:b w:val="0"/>
          <w:bCs w:val="0"/>
        </w:rPr>
        <w:t>exilarch</w:t>
      </w:r>
      <w:r>
        <w:rPr>
          <w:rStyle w:val="Strong"/>
          <w:rFonts w:ascii="Arial" w:hAnsi="Arial" w:cs="Arial"/>
          <w:b w:val="0"/>
          <w:bCs w:val="0"/>
        </w:rPr>
        <w:t>.</w:t>
      </w:r>
      <w:r w:rsidRPr="009201ED">
        <w:rPr>
          <w:rFonts w:ascii="Arial" w:hAnsi="Arial" w:cs="Arial"/>
          <w:sz w:val="24"/>
          <w:szCs w:val="22"/>
        </w:rPr>
        <w:t xml:space="preserve"> </w:t>
      </w:r>
      <w:r w:rsidRPr="009201ED">
        <w:rPr>
          <w:rFonts w:ascii="Arial" w:hAnsi="Arial" w:cs="Arial"/>
        </w:rPr>
        <w:t>It was the hereditary, semi-autonomous political and administrative institution that led the Jewish community in Babylonia (Mesopotamia, modern-day Iraq) from antiquity through the Middle Ages.</w:t>
      </w:r>
      <w:r w:rsidRPr="009201ED">
        <w:rPr>
          <w:sz w:val="24"/>
          <w:szCs w:val="22"/>
        </w:rPr>
        <w:t xml:space="preserve"> </w:t>
      </w:r>
      <w:r w:rsidRPr="009201ED">
        <w:rPr>
          <w:rFonts w:ascii="Arial" w:hAnsi="Arial" w:cs="Arial"/>
        </w:rPr>
        <w:t>Its leaders patrilineally claimed a royal Davidic lineage tracing back to King David</w:t>
      </w:r>
      <w:r>
        <w:rPr>
          <w:rFonts w:ascii="Arial" w:hAnsi="Arial" w:cs="Arial"/>
        </w:rPr>
        <w:t>.It collected taxes and managed land tenure on behalf of ruling empires; appointed judges; ran rabbinical courts; held civil and criminal jurisdiction; and financed</w:t>
      </w:r>
      <w:r w:rsidRPr="009201ED">
        <w:rPr>
          <w:rFonts w:ascii="Arial" w:hAnsi="Arial" w:cs="Arial"/>
        </w:rPr>
        <w:t xml:space="preserve"> major Babylonian Talmudic academies (such as Sura and Pumbedita) and redistributed charity.</w:t>
      </w:r>
      <w:r w:rsidRPr="009201ED">
        <w:rPr>
          <w:rFonts w:ascii="Arial" w:hAnsi="Arial" w:cs="Arial"/>
          <w:sz w:val="24"/>
          <w:szCs w:val="22"/>
        </w:rPr>
        <w:t xml:space="preserve"> </w:t>
      </w:r>
      <w:r w:rsidRPr="009201ED">
        <w:rPr>
          <w:rFonts w:ascii="Arial" w:hAnsi="Arial" w:cs="Arial"/>
        </w:rPr>
        <w:t xml:space="preserve">The institution is documented as early as the 2nd century CE (or earlier), survived </w:t>
      </w:r>
      <w:r>
        <w:rPr>
          <w:rFonts w:ascii="Arial" w:hAnsi="Arial" w:cs="Arial"/>
        </w:rPr>
        <w:t>the transition from Persian to Arab-Islamic rule, and gradually declined, ending</w:t>
      </w:r>
      <w:r w:rsidRPr="009201ED">
        <w:rPr>
          <w:rFonts w:ascii="Arial" w:hAnsi="Arial" w:cs="Arial"/>
        </w:rPr>
        <w:t xml:space="preserve"> around the 11th to 13th centuries.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27000" w14:textId="77777777" w:rsidR="00025B7A" w:rsidRDefault="00025B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8387564"/>
      <w:docPartObj>
        <w:docPartGallery w:val="Page Numbers (Top of Page)"/>
        <w:docPartUnique/>
      </w:docPartObj>
    </w:sdtPr>
    <w:sdtEndPr>
      <w:rPr>
        <w:noProof/>
      </w:rPr>
    </w:sdtEndPr>
    <w:sdtContent>
      <w:p w14:paraId="232F45C6" w14:textId="5FF01509" w:rsidR="00025B7A" w:rsidRDefault="00025B7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B795EDF" w14:textId="77777777" w:rsidR="00025B7A" w:rsidRDefault="00025B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C9A8B" w14:textId="77777777" w:rsidR="00025B7A" w:rsidRDefault="00025B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F6E2E"/>
    <w:multiLevelType w:val="multilevel"/>
    <w:tmpl w:val="60B0D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04CCE"/>
    <w:multiLevelType w:val="multilevel"/>
    <w:tmpl w:val="5D98E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8400D"/>
    <w:multiLevelType w:val="multilevel"/>
    <w:tmpl w:val="DE807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892711"/>
    <w:multiLevelType w:val="multilevel"/>
    <w:tmpl w:val="DC16F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CF5833"/>
    <w:multiLevelType w:val="multilevel"/>
    <w:tmpl w:val="DBF01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A261D7"/>
    <w:multiLevelType w:val="multilevel"/>
    <w:tmpl w:val="61F20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806281"/>
    <w:multiLevelType w:val="multilevel"/>
    <w:tmpl w:val="6638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500F64"/>
    <w:multiLevelType w:val="multilevel"/>
    <w:tmpl w:val="2004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A05DDF"/>
    <w:multiLevelType w:val="multilevel"/>
    <w:tmpl w:val="E014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8440C3"/>
    <w:multiLevelType w:val="multilevel"/>
    <w:tmpl w:val="5CB63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633AF0"/>
    <w:multiLevelType w:val="multilevel"/>
    <w:tmpl w:val="ADECA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B14676"/>
    <w:multiLevelType w:val="multilevel"/>
    <w:tmpl w:val="D13C9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414BC8"/>
    <w:multiLevelType w:val="multilevel"/>
    <w:tmpl w:val="E6B8E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5129821">
    <w:abstractNumId w:val="0"/>
  </w:num>
  <w:num w:numId="2" w16cid:durableId="1366441610">
    <w:abstractNumId w:val="10"/>
  </w:num>
  <w:num w:numId="3" w16cid:durableId="2121411460">
    <w:abstractNumId w:val="11"/>
  </w:num>
  <w:num w:numId="4" w16cid:durableId="393048593">
    <w:abstractNumId w:val="4"/>
  </w:num>
  <w:num w:numId="5" w16cid:durableId="1099523082">
    <w:abstractNumId w:val="7"/>
  </w:num>
  <w:num w:numId="6" w16cid:durableId="1619415534">
    <w:abstractNumId w:val="3"/>
  </w:num>
  <w:num w:numId="7" w16cid:durableId="163208995">
    <w:abstractNumId w:val="6"/>
  </w:num>
  <w:num w:numId="8" w16cid:durableId="1718554545">
    <w:abstractNumId w:val="1"/>
  </w:num>
  <w:num w:numId="9" w16cid:durableId="537861013">
    <w:abstractNumId w:val="5"/>
  </w:num>
  <w:num w:numId="10" w16cid:durableId="792212890">
    <w:abstractNumId w:val="9"/>
  </w:num>
  <w:num w:numId="11" w16cid:durableId="1762530844">
    <w:abstractNumId w:val="8"/>
  </w:num>
  <w:num w:numId="12" w16cid:durableId="2039574518">
    <w:abstractNumId w:val="2"/>
  </w:num>
  <w:num w:numId="13" w16cid:durableId="3104047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1MDExMLGwMDUwMzJT0lEKTi0uzszPAykwrAUAoFNZOSwAAAA="/>
  </w:docVars>
  <w:rsids>
    <w:rsidRoot w:val="00E80177"/>
    <w:rsid w:val="00025B7A"/>
    <w:rsid w:val="008F00C1"/>
    <w:rsid w:val="009201ED"/>
    <w:rsid w:val="009A2B36"/>
    <w:rsid w:val="00A92B73"/>
    <w:rsid w:val="00C9068C"/>
    <w:rsid w:val="00E8017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2C2D4"/>
  <w15:chartTrackingRefBased/>
  <w15:docId w15:val="{51B50BEC-B29B-4C0A-B0C9-8E054E872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B73"/>
    <w:rPr>
      <w:rFonts w:ascii="Times New Roman" w:hAnsi="Times New Roman"/>
      <w:sz w:val="24"/>
    </w:rPr>
  </w:style>
  <w:style w:type="paragraph" w:styleId="Heading1">
    <w:name w:val="heading 1"/>
    <w:basedOn w:val="Normal"/>
    <w:next w:val="Normal"/>
    <w:link w:val="Heading1Char"/>
    <w:uiPriority w:val="9"/>
    <w:qFormat/>
    <w:rsid w:val="00E80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0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017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017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017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017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017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017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017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1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01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1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177"/>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E80177"/>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E80177"/>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E80177"/>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E80177"/>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E80177"/>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E801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1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17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1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177"/>
    <w:pPr>
      <w:spacing w:before="160"/>
      <w:jc w:val="center"/>
    </w:pPr>
    <w:rPr>
      <w:i/>
      <w:iCs/>
      <w:color w:val="404040" w:themeColor="text1" w:themeTint="BF"/>
    </w:rPr>
  </w:style>
  <w:style w:type="character" w:customStyle="1" w:styleId="QuoteChar">
    <w:name w:val="Quote Char"/>
    <w:basedOn w:val="DefaultParagraphFont"/>
    <w:link w:val="Quote"/>
    <w:uiPriority w:val="29"/>
    <w:rsid w:val="00E80177"/>
    <w:rPr>
      <w:rFonts w:ascii="Times New Roman" w:hAnsi="Times New Roman"/>
      <w:i/>
      <w:iCs/>
      <w:color w:val="404040" w:themeColor="text1" w:themeTint="BF"/>
      <w:sz w:val="24"/>
    </w:rPr>
  </w:style>
  <w:style w:type="paragraph" w:styleId="ListParagraph">
    <w:name w:val="List Paragraph"/>
    <w:basedOn w:val="Normal"/>
    <w:uiPriority w:val="34"/>
    <w:qFormat/>
    <w:rsid w:val="00E80177"/>
    <w:pPr>
      <w:ind w:left="720"/>
      <w:contextualSpacing/>
    </w:pPr>
  </w:style>
  <w:style w:type="character" w:styleId="IntenseEmphasis">
    <w:name w:val="Intense Emphasis"/>
    <w:basedOn w:val="DefaultParagraphFont"/>
    <w:uiPriority w:val="21"/>
    <w:qFormat/>
    <w:rsid w:val="00E80177"/>
    <w:rPr>
      <w:i/>
      <w:iCs/>
      <w:color w:val="0F4761" w:themeColor="accent1" w:themeShade="BF"/>
    </w:rPr>
  </w:style>
  <w:style w:type="paragraph" w:styleId="IntenseQuote">
    <w:name w:val="Intense Quote"/>
    <w:basedOn w:val="Normal"/>
    <w:next w:val="Normal"/>
    <w:link w:val="IntenseQuoteChar"/>
    <w:uiPriority w:val="30"/>
    <w:qFormat/>
    <w:rsid w:val="00E80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177"/>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E80177"/>
    <w:rPr>
      <w:b/>
      <w:bCs/>
      <w:smallCaps/>
      <w:color w:val="0F4761" w:themeColor="accent1" w:themeShade="BF"/>
      <w:spacing w:val="5"/>
    </w:rPr>
  </w:style>
  <w:style w:type="character" w:styleId="Hyperlink">
    <w:name w:val="Hyperlink"/>
    <w:basedOn w:val="DefaultParagraphFont"/>
    <w:uiPriority w:val="99"/>
    <w:unhideWhenUsed/>
    <w:rsid w:val="00E80177"/>
    <w:rPr>
      <w:color w:val="467886" w:themeColor="hyperlink"/>
      <w:u w:val="single"/>
    </w:rPr>
  </w:style>
  <w:style w:type="character" w:styleId="UnresolvedMention">
    <w:name w:val="Unresolved Mention"/>
    <w:basedOn w:val="DefaultParagraphFont"/>
    <w:uiPriority w:val="99"/>
    <w:semiHidden/>
    <w:unhideWhenUsed/>
    <w:rsid w:val="00E80177"/>
    <w:rPr>
      <w:color w:val="605E5C"/>
      <w:shd w:val="clear" w:color="auto" w:fill="E1DFDD"/>
    </w:rPr>
  </w:style>
  <w:style w:type="paragraph" w:styleId="Header">
    <w:name w:val="header"/>
    <w:basedOn w:val="Normal"/>
    <w:link w:val="HeaderChar"/>
    <w:uiPriority w:val="99"/>
    <w:unhideWhenUsed/>
    <w:rsid w:val="00E80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177"/>
    <w:rPr>
      <w:rFonts w:ascii="Times New Roman" w:hAnsi="Times New Roman"/>
      <w:sz w:val="24"/>
    </w:rPr>
  </w:style>
  <w:style w:type="paragraph" w:styleId="Footer">
    <w:name w:val="footer"/>
    <w:basedOn w:val="Normal"/>
    <w:link w:val="FooterChar"/>
    <w:uiPriority w:val="99"/>
    <w:unhideWhenUsed/>
    <w:rsid w:val="00E80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177"/>
    <w:rPr>
      <w:rFonts w:ascii="Times New Roman" w:hAnsi="Times New Roman"/>
      <w:sz w:val="24"/>
    </w:rPr>
  </w:style>
  <w:style w:type="paragraph" w:styleId="FootnoteText">
    <w:name w:val="footnote text"/>
    <w:basedOn w:val="Normal"/>
    <w:link w:val="FootnoteTextChar"/>
    <w:uiPriority w:val="99"/>
    <w:semiHidden/>
    <w:unhideWhenUsed/>
    <w:rsid w:val="009201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01ED"/>
    <w:rPr>
      <w:rFonts w:ascii="Times New Roman" w:hAnsi="Times New Roman"/>
      <w:sz w:val="20"/>
      <w:szCs w:val="20"/>
    </w:rPr>
  </w:style>
  <w:style w:type="character" w:styleId="FootnoteReference">
    <w:name w:val="footnote reference"/>
    <w:basedOn w:val="DefaultParagraphFont"/>
    <w:uiPriority w:val="99"/>
    <w:semiHidden/>
    <w:unhideWhenUsed/>
    <w:rsid w:val="009201ED"/>
    <w:rPr>
      <w:vertAlign w:val="superscript"/>
    </w:rPr>
  </w:style>
  <w:style w:type="character" w:styleId="Strong">
    <w:name w:val="Strong"/>
    <w:basedOn w:val="DefaultParagraphFont"/>
    <w:uiPriority w:val="22"/>
    <w:qFormat/>
    <w:rsid w:val="009201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542785">
      <w:bodyDiv w:val="1"/>
      <w:marLeft w:val="0"/>
      <w:marRight w:val="0"/>
      <w:marTop w:val="0"/>
      <w:marBottom w:val="0"/>
      <w:divBdr>
        <w:top w:val="none" w:sz="0" w:space="0" w:color="auto"/>
        <w:left w:val="none" w:sz="0" w:space="0" w:color="auto"/>
        <w:bottom w:val="none" w:sz="0" w:space="0" w:color="auto"/>
        <w:right w:val="none" w:sz="0" w:space="0" w:color="auto"/>
      </w:divBdr>
    </w:div>
    <w:div w:id="643779679">
      <w:bodyDiv w:val="1"/>
      <w:marLeft w:val="0"/>
      <w:marRight w:val="0"/>
      <w:marTop w:val="0"/>
      <w:marBottom w:val="0"/>
      <w:divBdr>
        <w:top w:val="none" w:sz="0" w:space="0" w:color="auto"/>
        <w:left w:val="none" w:sz="0" w:space="0" w:color="auto"/>
        <w:bottom w:val="none" w:sz="0" w:space="0" w:color="auto"/>
        <w:right w:val="none" w:sz="0" w:space="0" w:color="auto"/>
      </w:divBdr>
      <w:divsChild>
        <w:div w:id="444232016">
          <w:marLeft w:val="0"/>
          <w:marRight w:val="0"/>
          <w:marTop w:val="0"/>
          <w:marBottom w:val="0"/>
          <w:divBdr>
            <w:top w:val="none" w:sz="0" w:space="0" w:color="auto"/>
            <w:left w:val="none" w:sz="0" w:space="0" w:color="auto"/>
            <w:bottom w:val="none" w:sz="0" w:space="0" w:color="auto"/>
            <w:right w:val="none" w:sz="0" w:space="0" w:color="auto"/>
          </w:divBdr>
          <w:divsChild>
            <w:div w:id="1697660082">
              <w:marLeft w:val="0"/>
              <w:marRight w:val="0"/>
              <w:marTop w:val="0"/>
              <w:marBottom w:val="0"/>
              <w:divBdr>
                <w:top w:val="none" w:sz="0" w:space="0" w:color="auto"/>
                <w:left w:val="none" w:sz="0" w:space="0" w:color="auto"/>
                <w:bottom w:val="none" w:sz="0" w:space="0" w:color="auto"/>
                <w:right w:val="none" w:sz="0" w:space="0" w:color="auto"/>
              </w:divBdr>
              <w:divsChild>
                <w:div w:id="1067612248">
                  <w:marLeft w:val="0"/>
                  <w:marRight w:val="0"/>
                  <w:marTop w:val="180"/>
                  <w:marBottom w:val="240"/>
                  <w:divBdr>
                    <w:top w:val="none" w:sz="0" w:space="0" w:color="auto"/>
                    <w:left w:val="none" w:sz="0" w:space="0" w:color="auto"/>
                    <w:bottom w:val="none" w:sz="0" w:space="0" w:color="auto"/>
                    <w:right w:val="none" w:sz="0" w:space="0" w:color="auto"/>
                  </w:divBdr>
                </w:div>
                <w:div w:id="1787382744">
                  <w:marLeft w:val="0"/>
                  <w:marRight w:val="0"/>
                  <w:marTop w:val="360"/>
                  <w:marBottom w:val="180"/>
                  <w:divBdr>
                    <w:top w:val="none" w:sz="0" w:space="0" w:color="auto"/>
                    <w:left w:val="none" w:sz="0" w:space="0" w:color="auto"/>
                    <w:bottom w:val="none" w:sz="0" w:space="0" w:color="auto"/>
                    <w:right w:val="none" w:sz="0" w:space="0" w:color="auto"/>
                  </w:divBdr>
                </w:div>
                <w:div w:id="1297295855">
                  <w:marLeft w:val="0"/>
                  <w:marRight w:val="0"/>
                  <w:marTop w:val="180"/>
                  <w:marBottom w:val="240"/>
                  <w:divBdr>
                    <w:top w:val="none" w:sz="0" w:space="0" w:color="auto"/>
                    <w:left w:val="none" w:sz="0" w:space="0" w:color="auto"/>
                    <w:bottom w:val="none" w:sz="0" w:space="0" w:color="auto"/>
                    <w:right w:val="none" w:sz="0" w:space="0" w:color="auto"/>
                  </w:divBdr>
                </w:div>
                <w:div w:id="1583906723">
                  <w:marLeft w:val="0"/>
                  <w:marRight w:val="0"/>
                  <w:marTop w:val="360"/>
                  <w:marBottom w:val="180"/>
                  <w:divBdr>
                    <w:top w:val="none" w:sz="0" w:space="0" w:color="auto"/>
                    <w:left w:val="none" w:sz="0" w:space="0" w:color="auto"/>
                    <w:bottom w:val="none" w:sz="0" w:space="0" w:color="auto"/>
                    <w:right w:val="none" w:sz="0" w:space="0" w:color="auto"/>
                  </w:divBdr>
                </w:div>
                <w:div w:id="1314025744">
                  <w:marLeft w:val="0"/>
                  <w:marRight w:val="0"/>
                  <w:marTop w:val="180"/>
                  <w:marBottom w:val="240"/>
                  <w:divBdr>
                    <w:top w:val="none" w:sz="0" w:space="0" w:color="auto"/>
                    <w:left w:val="none" w:sz="0" w:space="0" w:color="auto"/>
                    <w:bottom w:val="none" w:sz="0" w:space="0" w:color="auto"/>
                    <w:right w:val="none" w:sz="0" w:space="0" w:color="auto"/>
                  </w:divBdr>
                </w:div>
                <w:div w:id="185757829">
                  <w:marLeft w:val="0"/>
                  <w:marRight w:val="0"/>
                  <w:marTop w:val="360"/>
                  <w:marBottom w:val="180"/>
                  <w:divBdr>
                    <w:top w:val="none" w:sz="0" w:space="0" w:color="auto"/>
                    <w:left w:val="none" w:sz="0" w:space="0" w:color="auto"/>
                    <w:bottom w:val="none" w:sz="0" w:space="0" w:color="auto"/>
                    <w:right w:val="none" w:sz="0" w:space="0" w:color="auto"/>
                  </w:divBdr>
                </w:div>
                <w:div w:id="1221749211">
                  <w:marLeft w:val="0"/>
                  <w:marRight w:val="0"/>
                  <w:marTop w:val="180"/>
                  <w:marBottom w:val="240"/>
                  <w:divBdr>
                    <w:top w:val="none" w:sz="0" w:space="0" w:color="auto"/>
                    <w:left w:val="none" w:sz="0" w:space="0" w:color="auto"/>
                    <w:bottom w:val="none" w:sz="0" w:space="0" w:color="auto"/>
                    <w:right w:val="none" w:sz="0" w:space="0" w:color="auto"/>
                  </w:divBdr>
                </w:div>
                <w:div w:id="136647257">
                  <w:marLeft w:val="0"/>
                  <w:marRight w:val="0"/>
                  <w:marTop w:val="60"/>
                  <w:marBottom w:val="0"/>
                  <w:divBdr>
                    <w:top w:val="none" w:sz="0" w:space="0" w:color="auto"/>
                    <w:left w:val="none" w:sz="0" w:space="0" w:color="auto"/>
                    <w:bottom w:val="none" w:sz="0" w:space="0" w:color="auto"/>
                    <w:right w:val="none" w:sz="0" w:space="0" w:color="auto"/>
                  </w:divBdr>
                  <w:divsChild>
                    <w:div w:id="122890273">
                      <w:marLeft w:val="0"/>
                      <w:marRight w:val="0"/>
                      <w:marTop w:val="0"/>
                      <w:marBottom w:val="0"/>
                      <w:divBdr>
                        <w:top w:val="none" w:sz="0" w:space="0" w:color="auto"/>
                        <w:left w:val="none" w:sz="0" w:space="0" w:color="auto"/>
                        <w:bottom w:val="none" w:sz="0" w:space="0" w:color="auto"/>
                        <w:right w:val="none" w:sz="0" w:space="0" w:color="auto"/>
                      </w:divBdr>
                      <w:divsChild>
                        <w:div w:id="607156259">
                          <w:marLeft w:val="0"/>
                          <w:marRight w:val="0"/>
                          <w:marTop w:val="0"/>
                          <w:marBottom w:val="0"/>
                          <w:divBdr>
                            <w:top w:val="none" w:sz="0" w:space="0" w:color="auto"/>
                            <w:left w:val="none" w:sz="0" w:space="0" w:color="auto"/>
                            <w:bottom w:val="single" w:sz="4" w:space="0" w:color="F0F2F5"/>
                            <w:right w:val="none" w:sz="0" w:space="0" w:color="auto"/>
                          </w:divBdr>
                          <w:divsChild>
                            <w:div w:id="36506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863732">
                  <w:marLeft w:val="0"/>
                  <w:marRight w:val="0"/>
                  <w:marTop w:val="0"/>
                  <w:marBottom w:val="0"/>
                  <w:divBdr>
                    <w:top w:val="none" w:sz="0" w:space="0" w:color="auto"/>
                    <w:left w:val="none" w:sz="0" w:space="0" w:color="auto"/>
                    <w:bottom w:val="none" w:sz="0" w:space="0" w:color="auto"/>
                    <w:right w:val="none" w:sz="0" w:space="0" w:color="auto"/>
                  </w:divBdr>
                  <w:divsChild>
                    <w:div w:id="143979160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133237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raeled.org/1951-u-n-report-the-situation-of-jews-in-moslem-countrie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1EDFD38-52AF-4C91-B3A7-3BDF80B8C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7</Pages>
  <Words>2064</Words>
  <Characters>11765</Characters>
  <Application>Microsoft Office Word</Application>
  <DocSecurity>0</DocSecurity>
  <Lines>98</Lines>
  <Paragraphs>27</Paragraphs>
  <ScaleCrop>false</ScaleCrop>
  <Company/>
  <LinksUpToDate>false</LinksUpToDate>
  <CharactersWithSpaces>13802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Goodman</dc:creator>
  <cp:keywords/>
  <dc:description/>
  <cp:lastModifiedBy>Mark Goodman</cp:lastModifiedBy>
  <cp:revision>4</cp:revision>
  <dcterms:created xsi:type="dcterms:W3CDTF">2026-10-26T16:06:00Z</dcterms:created>
  <dcterms:modified xsi:type="dcterms:W3CDTF">2026-10-26T17:32:00Z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e01c023e-fe30-482e-94f0-dbd9516f5940</vt:lpwstr>
  </property>
</Properties>
</file>