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E28067" w14:textId="11EF9F47" w:rsidR="00AA2465" w:rsidRPr="00AA2465" w:rsidRDefault="00AA2465" w:rsidP="00AA2465">
      <w:pPr>
        <w:rPr>
          <w:b/>
          <w:bCs/>
          <w:sz w:val="28"/>
          <w:szCs w:val="28"/>
        </w:rPr>
      </w:pPr>
      <w:r w:rsidRPr="00AA2465">
        <w:rPr>
          <w:b/>
          <w:bCs/>
          <w:sz w:val="28"/>
          <w:szCs w:val="28"/>
        </w:rPr>
        <w:t>The Intellectual Leadershi</w:t>
      </w:r>
      <w:r>
        <w:rPr>
          <w:b/>
          <w:bCs/>
          <w:sz w:val="28"/>
          <w:szCs w:val="28"/>
        </w:rPr>
        <w:t>p</w:t>
      </w:r>
      <w:r w:rsidRPr="00AA2465">
        <w:rPr>
          <w:b/>
          <w:bCs/>
          <w:sz w:val="28"/>
          <w:szCs w:val="28"/>
        </w:rPr>
        <w:t xml:space="preserve"> of Medieval Jewish Society in Europe</w:t>
      </w:r>
    </w:p>
    <w:p w14:paraId="065D6C19" w14:textId="77777777" w:rsidR="00AA2465" w:rsidRDefault="00AA2465" w:rsidP="00AA2465"/>
    <w:p w14:paraId="02416804" w14:textId="0B77D2B4" w:rsidR="00AA2465" w:rsidRDefault="00AA2465" w:rsidP="00AA2465">
      <w:r>
        <w:t xml:space="preserve">The principal intellectual leaders of medieval Jewish society in Europe were rabbis—especially Talmudic scholars, legal authorities, biblical commentators, and heads of academies. They interpreted Jewish law, educated future scholars, adjudicated disputes, and provided religious and ethical guidance. </w:t>
      </w:r>
      <w:r>
        <w:t>However,</w:t>
      </w:r>
      <w:r>
        <w:t xml:space="preserve"> intellectual leadership extended beyond legal scholarship: philosophers, poets, translators, and mystics also shaped Jewish thought, particularly in Iberia and southern France. These categories frequently overlapped in the same person. </w:t>
      </w:r>
    </w:p>
    <w:p w14:paraId="76A03379" w14:textId="799473ED" w:rsidR="00AA2465" w:rsidRDefault="00AA2465" w:rsidP="00AA2465">
      <w:r>
        <w:t xml:space="preserve">1. </w:t>
      </w:r>
      <w:r w:rsidRPr="00AA2465">
        <w:rPr>
          <w:b/>
          <w:bCs/>
        </w:rPr>
        <w:t>Rabbinic scholars and legal authorities</w:t>
      </w:r>
    </w:p>
    <w:p w14:paraId="62A42FAA" w14:textId="34EAAC2C" w:rsidR="00AA2465" w:rsidRDefault="00AA2465" w:rsidP="00AA2465">
      <w:r>
        <w:t xml:space="preserve">For </w:t>
      </w:r>
      <w:r>
        <w:t>organizing</w:t>
      </w:r>
      <w:r>
        <w:t xml:space="preserve"> communal religious life, scholars of halakhah—Jewish law—were especially important. The</w:t>
      </w:r>
      <w:r>
        <w:t>y exerted influence</w:t>
      </w:r>
      <w:r>
        <w:t xml:space="preserve"> through teaching, biblical and Talmudic commentaries, and responsa: written answers to legal questions submitted by individuals or communities. </w:t>
      </w:r>
      <w:r w:rsidR="009F24A2">
        <w:t>These writings let a scholar's authority</w:t>
      </w:r>
      <w:r>
        <w:t xml:space="preserve"> extend far beyond his own town. </w:t>
      </w:r>
    </w:p>
    <w:p w14:paraId="68646F0C" w14:textId="7CDE76EC" w:rsidR="00AA2465" w:rsidRDefault="00AA2465" w:rsidP="00AA2465">
      <w:r>
        <w:t>Among the leading figures were:</w:t>
      </w:r>
    </w:p>
    <w:p w14:paraId="70050569" w14:textId="403E522E" w:rsidR="00AA2465" w:rsidRDefault="00AA2465" w:rsidP="00AA2465">
      <w:r>
        <w:t xml:space="preserve">- </w:t>
      </w:r>
      <w:r w:rsidRPr="00AA2465">
        <w:rPr>
          <w:b/>
          <w:bCs/>
        </w:rPr>
        <w:t>Rashi,</w:t>
      </w:r>
      <w:r>
        <w:t xml:space="preserve"> Rabbi Solomon ben Isaac (1040–1105), of Troyes in northern France, whose commentaries on the Bible and Talmud became foundational works of Jewish study. </w:t>
      </w:r>
    </w:p>
    <w:p w14:paraId="0BAD761F" w14:textId="15984B5C" w:rsidR="00AA2465" w:rsidRDefault="00AA2465" w:rsidP="00AA2465">
      <w:r>
        <w:t xml:space="preserve">- </w:t>
      </w:r>
      <w:r w:rsidRPr="00AA2465">
        <w:rPr>
          <w:b/>
          <w:bCs/>
        </w:rPr>
        <w:t>Rabbeinu Tam</w:t>
      </w:r>
      <w:r>
        <w:t>, Rabbi Jacob ben Meir, a major French rabbinic authority and one of the leading intellectual figures of medieval European Jewry.</w:t>
      </w:r>
      <w:r>
        <w:t xml:space="preserve"> He was a grandson of Rashi.</w:t>
      </w:r>
    </w:p>
    <w:p w14:paraId="1899492C" w14:textId="76704058" w:rsidR="00AA2465" w:rsidRDefault="00AA2465" w:rsidP="00AA2465">
      <w:r>
        <w:t xml:space="preserve">- </w:t>
      </w:r>
      <w:r w:rsidRPr="00AA2465">
        <w:rPr>
          <w:b/>
          <w:bCs/>
        </w:rPr>
        <w:t>Rambam</w:t>
      </w:r>
      <w:r>
        <w:t xml:space="preserve">, </w:t>
      </w:r>
      <w:r w:rsidRPr="00AA2465">
        <w:t>Nahmanide</w:t>
      </w:r>
      <w:r w:rsidRPr="00AA2465">
        <w:rPr>
          <w:b/>
          <w:bCs/>
        </w:rPr>
        <w:t>s</w:t>
      </w:r>
      <w:r>
        <w:t xml:space="preserve">, Rabbi Moses ben Nahman, of Christian Spain, whose importance crossed the boundaries between legal scholarship, biblical interpretation, and religious thought. </w:t>
      </w:r>
      <w:r w:rsidRPr="00AA2465">
        <w:t>Summoned by King James I of Aragon, he was forced to participate in a public theological debate against the Christian convert Pablo Christiani. Though his arguments were successful, the political fallout forced him to flee Spain</w:t>
      </w:r>
      <w:r>
        <w:t xml:space="preserve">. </w:t>
      </w:r>
      <w:r w:rsidRPr="00AA2465">
        <w:t>In 1267, he emigrated to Jerusalem and Acre, where he helped reorganize and rebuild the local Jewish community.</w:t>
      </w:r>
    </w:p>
    <w:p w14:paraId="4B98E284" w14:textId="31C00F73" w:rsidR="00AA2465" w:rsidRDefault="00AA2465" w:rsidP="00AA2465">
      <w:r>
        <w:t xml:space="preserve">- </w:t>
      </w:r>
      <w:r w:rsidRPr="00AA2465">
        <w:rPr>
          <w:b/>
          <w:bCs/>
        </w:rPr>
        <w:t>MaHaRaM</w:t>
      </w:r>
      <w:r>
        <w:rPr>
          <w:b/>
          <w:bCs/>
        </w:rPr>
        <w:t xml:space="preserve">, </w:t>
      </w:r>
      <w:r w:rsidRPr="00AA2465">
        <w:rPr>
          <w:b/>
          <w:bCs/>
        </w:rPr>
        <w:t xml:space="preserve"> </w:t>
      </w:r>
      <w:r w:rsidRPr="00AA2465">
        <w:t>Meir of Rothenburg</w:t>
      </w:r>
      <w:r>
        <w:t xml:space="preserve">, a major German rabbinic authority whose leadership belonged to the wider network of European Jewish scholarship. </w:t>
      </w:r>
      <w:r w:rsidRPr="00AA2465">
        <w:t xml:space="preserve">In 1286, while </w:t>
      </w:r>
      <w:r>
        <w:t>trying to migrate to the Land of Israel, agents of King Rudolf I arrested him in Lombardy and imprisoned him</w:t>
      </w:r>
      <w:r w:rsidRPr="00AA2465">
        <w:t xml:space="preserve"> in the fortress of Ensisheim (Alsace)</w:t>
      </w:r>
      <w:r>
        <w:t xml:space="preserve">. </w:t>
      </w:r>
      <w:r w:rsidRPr="00AA2465">
        <w:t xml:space="preserve">Although the Jewish community raised an enormous ransom for his release, Meir forbade them from paying it, fearing it would set a dangerous precedent that would lead rulers to kidnap and extort other rabbis. He died in captivity in 1293, and his body was ransomed and buried </w:t>
      </w:r>
      <w:r>
        <w:t>in Worms 14 years later</w:t>
      </w:r>
      <w:r w:rsidRPr="00AA2465">
        <w:t>.</w:t>
      </w:r>
    </w:p>
    <w:p w14:paraId="290B072C" w14:textId="56EAFF71" w:rsidR="00AA2465" w:rsidRDefault="00AA2465" w:rsidP="00AA2465">
      <w:r>
        <w:t xml:space="preserve">These scholars were not simply equivalents of modern congregational clergy. Medieval rabbis could serve as teachers, judges, preachers, and authors, and the </w:t>
      </w:r>
      <w:r>
        <w:t>regularly salaried rabbinic office developed gradually</w:t>
      </w:r>
      <w:r>
        <w:t>. Intellectual authority therefore did not always depend on holding a formal communal position</w:t>
      </w:r>
      <w:r>
        <w:t>.</w:t>
      </w:r>
    </w:p>
    <w:p w14:paraId="741A5683" w14:textId="77777777" w:rsidR="009F24A2" w:rsidRDefault="009F24A2">
      <w:r>
        <w:br w:type="page"/>
      </w:r>
    </w:p>
    <w:p w14:paraId="6B20B8F6" w14:textId="29DBE62F" w:rsidR="00AA2465" w:rsidRPr="00AA2465" w:rsidRDefault="00AA2465" w:rsidP="00AA2465">
      <w:pPr>
        <w:rPr>
          <w:b/>
          <w:bCs/>
        </w:rPr>
      </w:pPr>
      <w:r>
        <w:lastRenderedPageBreak/>
        <w:t xml:space="preserve">2. </w:t>
      </w:r>
      <w:r w:rsidRPr="00AA2465">
        <w:rPr>
          <w:b/>
          <w:bCs/>
        </w:rPr>
        <w:t>Philosophers, biblical scholars, poets, and translators</w:t>
      </w:r>
    </w:p>
    <w:p w14:paraId="00925B6E" w14:textId="29ABBAD6" w:rsidR="00AA2465" w:rsidRDefault="00AA2465" w:rsidP="00AA2465">
      <w:r>
        <w:t>In Iberia and the Mediterranean cultural world, intellectual distinction also rested on philosophy, Hebrew language and poetry, medicine, and the transmission of Arabic learning. Jewish scholars participated in a wider conversation with Islamic and Christian intellectual traditions.</w:t>
      </w:r>
    </w:p>
    <w:p w14:paraId="09CA2DF5" w14:textId="77777777" w:rsidR="00AA2465" w:rsidRDefault="00AA2465" w:rsidP="00AA2465">
      <w:r>
        <w:t>Representative figures included:</w:t>
      </w:r>
    </w:p>
    <w:p w14:paraId="56C54E5E" w14:textId="77777777" w:rsidR="00AA2465" w:rsidRDefault="00AA2465" w:rsidP="00AA2465">
      <w:r>
        <w:t xml:space="preserve">- </w:t>
      </w:r>
      <w:r w:rsidRPr="00AA2465">
        <w:rPr>
          <w:b/>
          <w:bCs/>
        </w:rPr>
        <w:t>Judah Halevi</w:t>
      </w:r>
      <w:r>
        <w:t>, a Hebrew poet and religious thinker who emphasized the distinctive authority of revelation and Jewish religious experience in relation to philosophical reasoning. [encyclopedia](https://www.encyclopedia.com/humanities/culture-magazines/medieval-judaism)</w:t>
      </w:r>
    </w:p>
    <w:p w14:paraId="6A5C4353" w14:textId="1C3E66D3" w:rsidR="00AA2465" w:rsidRDefault="00AA2465" w:rsidP="00AA2465">
      <w:r>
        <w:t xml:space="preserve">- </w:t>
      </w:r>
      <w:r w:rsidRPr="00AA2465">
        <w:rPr>
          <w:b/>
          <w:bCs/>
        </w:rPr>
        <w:t>Solomon ibn Gabirol</w:t>
      </w:r>
      <w:r>
        <w:t xml:space="preserve">, an important poet and philosopher associated with the development of Jewish Neoplatonic thought. </w:t>
      </w:r>
    </w:p>
    <w:p w14:paraId="708FC122" w14:textId="77777777" w:rsidR="00AA2465" w:rsidRDefault="00AA2465" w:rsidP="00AA2465">
      <w:r>
        <w:t xml:space="preserve">- </w:t>
      </w:r>
      <w:r w:rsidRPr="00AA2465">
        <w:rPr>
          <w:b/>
          <w:bCs/>
        </w:rPr>
        <w:t>Abraham ibn Ezra</w:t>
      </w:r>
      <w:r>
        <w:t>, whose interests encompassed biblical commentary, mathematics, and astrology. [publicmedievalist](https://publicmedievalist.com/tale-two-europes-jews-medieval-world/)</w:t>
      </w:r>
    </w:p>
    <w:p w14:paraId="55F12A77" w14:textId="47257DDF" w:rsidR="00AA2465" w:rsidRDefault="00AA2465" w:rsidP="00AA2465">
      <w:r>
        <w:t xml:space="preserve">- </w:t>
      </w:r>
      <w:r w:rsidRPr="00AA2465">
        <w:rPr>
          <w:b/>
          <w:bCs/>
        </w:rPr>
        <w:t>David Kimhi</w:t>
      </w:r>
      <w:r>
        <w:t>, or Radak, a leading biblical scholar in the southern French Jewish intellectual tradition.</w:t>
      </w:r>
    </w:p>
    <w:p w14:paraId="1FF6ED7A" w14:textId="77777777" w:rsidR="00AA2465" w:rsidRDefault="00AA2465" w:rsidP="00AA2465">
      <w:r>
        <w:t xml:space="preserve">- </w:t>
      </w:r>
      <w:r w:rsidRPr="00AA2465">
        <w:rPr>
          <w:b/>
          <w:bCs/>
        </w:rPr>
        <w:t>Judah ibn Tibbon</w:t>
      </w:r>
      <w:r>
        <w:t>, an influential translator who helped transmit Arabic-language learning into Hebrew. [publicmedievalist](https://publicmedievalist.com/tale-two-europes-jews-medieval-world/)</w:t>
      </w:r>
    </w:p>
    <w:p w14:paraId="47EC4341" w14:textId="764B9198" w:rsidR="00AA2465" w:rsidRPr="00AA2465" w:rsidRDefault="00AA2465" w:rsidP="00AA2465">
      <w:r>
        <w:t xml:space="preserve">The </w:t>
      </w:r>
      <w:r w:rsidRPr="00AA2465">
        <w:rPr>
          <w:b/>
          <w:bCs/>
        </w:rPr>
        <w:t>Rambam</w:t>
      </w:r>
      <w:r>
        <w:t xml:space="preserve">, </w:t>
      </w:r>
      <w:r w:rsidRPr="00AA2465">
        <w:t>Maimonides</w:t>
      </w:r>
      <w:r>
        <w:t>,</w:t>
      </w:r>
      <w:r>
        <w:t xml:space="preserve"> requires a geographical qualification. He was born in Córdoba and profoundly influenced European Jewish intellectual life, but his mature career unfolded outside Europe, principally in Egypt. His legal and philosophical writings—notably the </w:t>
      </w:r>
      <w:r w:rsidRPr="009F24A2">
        <w:rPr>
          <w:b/>
          <w:bCs/>
        </w:rPr>
        <w:t>Guide for the Perplexed</w:t>
      </w:r>
      <w:r>
        <w:t xml:space="preserve">—made him a central authority for European readers despite that distance. </w:t>
      </w:r>
      <w:r>
        <w:t xml:space="preserve">Also wrote the </w:t>
      </w:r>
      <w:r>
        <w:rPr>
          <w:b/>
          <w:bCs/>
        </w:rPr>
        <w:t xml:space="preserve">Mishna Torah, </w:t>
      </w:r>
      <w:r>
        <w:t xml:space="preserve">a </w:t>
      </w:r>
      <w:r w:rsidRPr="00AA2465">
        <w:t>massive, 14-volume codification of Jewish law (Halakhah) that systematically organizes all of Talmudic law</w:t>
      </w:r>
      <w:r>
        <w:t xml:space="preserve">, and the </w:t>
      </w:r>
      <w:r w:rsidRPr="00AA2465">
        <w:rPr>
          <w:b/>
          <w:bCs/>
        </w:rPr>
        <w:t>Thirteen Principles of Faith:</w:t>
      </w:r>
      <w:r>
        <w:t xml:space="preserve"> a</w:t>
      </w:r>
      <w:r w:rsidRPr="00AA2465">
        <w:t xml:space="preserve"> formulation of the core tenets of Jewish belief.</w:t>
      </w:r>
      <w:r w:rsidRPr="00AA2465">
        <w:t xml:space="preserve"> </w:t>
      </w:r>
      <w:r w:rsidRPr="00AA2465">
        <w:t xml:space="preserve">Often referred to by the maxim </w:t>
      </w:r>
      <w:r w:rsidRPr="00AA2465">
        <w:rPr>
          <w:i/>
          <w:iCs/>
        </w:rPr>
        <w:t>"From Moses [the Prophet] to Moses [Maimonides], there arose none like Moses,"</w:t>
      </w:r>
      <w:r>
        <w:t>. H</w:t>
      </w:r>
      <w:r w:rsidRPr="00AA2465">
        <w:t>is writings continue to shape Jewish law, philosophy, and medical ethics today.</w:t>
      </w:r>
    </w:p>
    <w:p w14:paraId="4DDCF738" w14:textId="77777777" w:rsidR="00AA2465" w:rsidRDefault="00AA2465" w:rsidP="00AA2465"/>
    <w:p w14:paraId="3104FAAF" w14:textId="786C1E40" w:rsidR="00AA2465" w:rsidRPr="00AA2465" w:rsidRDefault="00AA2465" w:rsidP="00AA2465">
      <w:pPr>
        <w:rPr>
          <w:b/>
          <w:bCs/>
        </w:rPr>
      </w:pPr>
      <w:r>
        <w:t xml:space="preserve">3. </w:t>
      </w:r>
      <w:r w:rsidRPr="00AA2465">
        <w:rPr>
          <w:b/>
          <w:bCs/>
        </w:rPr>
        <w:t>Mystical and ethical teachers</w:t>
      </w:r>
    </w:p>
    <w:p w14:paraId="71452B96" w14:textId="77777777" w:rsidR="00AA2465" w:rsidRDefault="00AA2465" w:rsidP="00AA2465">
      <w:r>
        <w:t>Intellectual leadership also included scholars who emphasized religious devotion, ethical discipline, and the hidden meanings of Scripture.</w:t>
      </w:r>
    </w:p>
    <w:p w14:paraId="4F967A73" w14:textId="32FFFF4C" w:rsidR="00AA2465" w:rsidRDefault="00AA2465" w:rsidP="00AA2465">
      <w:r>
        <w:t xml:space="preserve">- The </w:t>
      </w:r>
      <w:r w:rsidRPr="00AA2465">
        <w:rPr>
          <w:b/>
          <w:bCs/>
        </w:rPr>
        <w:t>Hasidei Ashkenaz</w:t>
      </w:r>
      <w:r>
        <w:t>, or German Pietists, developed an influential ethical and devotional tradition associated with Judah he-Hasid and Sefer Hasidim</w:t>
      </w:r>
      <w:r>
        <w:t xml:space="preserve">, </w:t>
      </w:r>
      <w:r>
        <w:t>a foundational 12th-to-13th-century Hebrew text from medieval Germany (Ashkenaz). It serves as a comprehensive ethical, legal, and mystical guide to daily religious life.</w:t>
      </w:r>
    </w:p>
    <w:p w14:paraId="5AE463A5" w14:textId="59C82ADC" w:rsidR="00AA2465" w:rsidRDefault="00AA2465" w:rsidP="00AA2465">
      <w:r>
        <w:lastRenderedPageBreak/>
        <w:t xml:space="preserve">- </w:t>
      </w:r>
      <w:r w:rsidRPr="00AA2465">
        <w:rPr>
          <w:b/>
          <w:bCs/>
        </w:rPr>
        <w:t>Kabbalistic</w:t>
      </w:r>
      <w:r>
        <w:t xml:space="preserve"> circles in Provence and Spain developed forms of mystical interpretation concerned with the divine world and the symbolic significance of Scripture and the commandments. Moses de León was a central figure associated with the late-thirteenth-century emergence of the Zohar</w:t>
      </w:r>
      <w:r>
        <w:t xml:space="preserve">, </w:t>
      </w:r>
      <w:r w:rsidRPr="00AA2465">
        <w:t>who claimed it was a Tannaitic work recording the teachings of Shimon ben Yochai</w:t>
      </w:r>
      <w:hyperlink r:id="rId7" w:anchor="cite_note-3" w:history="1">
        <w:r w:rsidRPr="00AA2465">
          <w:rPr>
            <w:rStyle w:val="Hyperlink"/>
            <w:vertAlign w:val="superscript"/>
          </w:rPr>
          <w:t>[b]</w:t>
        </w:r>
      </w:hyperlink>
      <w:r w:rsidRPr="00AA2465">
        <w:t xml:space="preserve"> (c. 100 CE). </w:t>
      </w:r>
      <w:r>
        <w:t xml:space="preserve">Modern scholars have </w:t>
      </w:r>
      <w:r w:rsidRPr="00AA2465">
        <w:t xml:space="preserve">universally rejected </w:t>
      </w:r>
      <w:r>
        <w:t>this claim; most</w:t>
      </w:r>
      <w:r w:rsidRPr="00AA2465">
        <w:t xml:space="preserve"> believe de León, also an infamous forger of Geonic material, wrote the book himself between 1280 and 1286.</w:t>
      </w:r>
      <w:r>
        <w:t xml:space="preserve"> </w:t>
      </w:r>
    </w:p>
    <w:p w14:paraId="63F7A1B9" w14:textId="3CFCD40D" w:rsidR="00AA2465" w:rsidRDefault="00AA2465" w:rsidP="00AA2465">
      <w:r>
        <w:t xml:space="preserve">These were not necessarily separate camps opposed to </w:t>
      </w:r>
      <w:r>
        <w:t>"</w:t>
      </w:r>
      <w:r>
        <w:t>the rabbis</w:t>
      </w:r>
      <w:r>
        <w:t>"</w:t>
      </w:r>
      <w:r>
        <w:t xml:space="preserve">: mystical, ethical, legal, and exegetical interests could coexist within rabbinic scholarship. </w:t>
      </w:r>
    </w:p>
    <w:p w14:paraId="6DF0E221" w14:textId="797FDE24" w:rsidR="00AA2465" w:rsidRPr="00AA2465" w:rsidRDefault="00AA2465" w:rsidP="00AA2465">
      <w:pPr>
        <w:rPr>
          <w:b/>
          <w:bCs/>
        </w:rPr>
      </w:pPr>
      <w:r w:rsidRPr="00AA2465">
        <w:rPr>
          <w:b/>
          <w:bCs/>
        </w:rPr>
        <w:t xml:space="preserve">Regional differences and the limits of the term </w:t>
      </w:r>
      <w:r w:rsidRPr="00AA2465">
        <w:rPr>
          <w:b/>
          <w:bCs/>
        </w:rPr>
        <w:t>"</w:t>
      </w:r>
      <w:r w:rsidRPr="00AA2465">
        <w:rPr>
          <w:b/>
          <w:bCs/>
        </w:rPr>
        <w:t>leaders</w:t>
      </w:r>
      <w:r w:rsidRPr="00AA2465">
        <w:rPr>
          <w:b/>
          <w:bCs/>
        </w:rPr>
        <w:t>"</w:t>
      </w:r>
    </w:p>
    <w:p w14:paraId="621BBE90" w14:textId="3175DDB2" w:rsidR="00AA2465" w:rsidRDefault="00AA2465" w:rsidP="00AA2465">
      <w:r>
        <w:t xml:space="preserve">A useful broad distinction </w:t>
      </w:r>
      <w:r>
        <w:t>separates the Ashkenazic centers of northern France and the German lands, where Talmudic commentary and legal scholarship were especially prominent, from</w:t>
      </w:r>
      <w:r>
        <w:t xml:space="preserve"> the Sephardic centers of Iberia, where rabbinic learning developed alongside a particularly rich philosophical, linguistic, poetic, and scientific culture</w:t>
      </w:r>
      <w:r w:rsidR="009F24A2">
        <w:t>.</w:t>
      </w:r>
      <w:r>
        <w:t xml:space="preserve"> </w:t>
      </w:r>
    </w:p>
    <w:p w14:paraId="537C2EAF" w14:textId="3B35622E" w:rsidR="00AA2465" w:rsidRDefault="00AA2465" w:rsidP="00AA2465">
      <w:r>
        <w:t xml:space="preserve">Finally, intellectual leadership should not be confused with complete control over communal life. Medieval Jewish communities also depended on lay participants and local social institutions; their surviving literature disproportionately preserves the voices of learned men. </w:t>
      </w:r>
      <w:r>
        <w:t>M</w:t>
      </w:r>
      <w:r>
        <w:t xml:space="preserve">ost medieval Jews were not learned rabbis, and the history of their society cannot be reconstructed from its scholarly elite alone. </w:t>
      </w:r>
    </w:p>
    <w:p w14:paraId="6A8E73C8" w14:textId="77777777" w:rsidR="00AA2465" w:rsidRDefault="00AA2465" w:rsidP="00AA2465"/>
    <w:p w14:paraId="793A108B" w14:textId="77777777" w:rsidR="00AA2465" w:rsidRDefault="00AA2465" w:rsidP="00AA2465"/>
    <w:sectPr w:rsidR="00AA246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2277F1" w14:textId="77777777" w:rsidR="00954755" w:rsidRDefault="00954755" w:rsidP="00AA2465">
      <w:pPr>
        <w:spacing w:after="0" w:line="240" w:lineRule="auto"/>
      </w:pPr>
      <w:r>
        <w:separator/>
      </w:r>
    </w:p>
  </w:endnote>
  <w:endnote w:type="continuationSeparator" w:id="0">
    <w:p w14:paraId="55B9E332" w14:textId="77777777" w:rsidR="00954755" w:rsidRDefault="00954755" w:rsidP="00AA2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EFB38" w14:textId="77777777" w:rsidR="00AA2465" w:rsidRDefault="00AA24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2076FD" w14:textId="77777777" w:rsidR="00AA2465" w:rsidRDefault="00AA24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2692C5" w14:textId="77777777" w:rsidR="00AA2465" w:rsidRDefault="00AA24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0D7E47" w14:textId="77777777" w:rsidR="00954755" w:rsidRDefault="00954755" w:rsidP="00AA2465">
      <w:pPr>
        <w:spacing w:after="0" w:line="240" w:lineRule="auto"/>
      </w:pPr>
      <w:r>
        <w:separator/>
      </w:r>
    </w:p>
  </w:footnote>
  <w:footnote w:type="continuationSeparator" w:id="0">
    <w:p w14:paraId="2FA5DD5D" w14:textId="77777777" w:rsidR="00954755" w:rsidRDefault="00954755" w:rsidP="00AA24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16D9B2" w14:textId="77777777" w:rsidR="00AA2465" w:rsidRDefault="00AA24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21325833"/>
      <w:docPartObj>
        <w:docPartGallery w:val="Page Numbers (Top of Page)"/>
        <w:docPartUnique/>
      </w:docPartObj>
    </w:sdtPr>
    <w:sdtEndPr>
      <w:rPr>
        <w:noProof/>
      </w:rPr>
    </w:sdtEndPr>
    <w:sdtContent>
      <w:p w14:paraId="33D93675" w14:textId="5A7A810E" w:rsidR="00AA2465" w:rsidRDefault="00AA246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CDEFF90" w14:textId="77777777" w:rsidR="00AA2465" w:rsidRDefault="00AA24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4CC9C3" w14:textId="77777777" w:rsidR="00AA2465" w:rsidRDefault="00AA24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F167948"/>
    <w:multiLevelType w:val="multilevel"/>
    <w:tmpl w:val="20328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CD5CA6"/>
    <w:multiLevelType w:val="multilevel"/>
    <w:tmpl w:val="501CA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79110B"/>
    <w:multiLevelType w:val="multilevel"/>
    <w:tmpl w:val="07802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F03E38"/>
    <w:multiLevelType w:val="multilevel"/>
    <w:tmpl w:val="6D780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7557898">
    <w:abstractNumId w:val="2"/>
  </w:num>
  <w:num w:numId="2" w16cid:durableId="954561075">
    <w:abstractNumId w:val="0"/>
  </w:num>
  <w:num w:numId="3" w16cid:durableId="444884069">
    <w:abstractNumId w:val="3"/>
  </w:num>
  <w:num w:numId="4" w16cid:durableId="12081072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OwNDMwNzEyMjI3NzJV0lEKTi0uzszPAykwrAUApgOt3CwAAAA="/>
  </w:docVars>
  <w:rsids>
    <w:rsidRoot w:val="00AA2465"/>
    <w:rsid w:val="005A6A7C"/>
    <w:rsid w:val="008F00C1"/>
    <w:rsid w:val="00954755"/>
    <w:rsid w:val="009F24A2"/>
    <w:rsid w:val="00A92B73"/>
    <w:rsid w:val="00AA246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2FB8D"/>
  <w15:chartTrackingRefBased/>
  <w15:docId w15:val="{7950A37D-0A1D-4C12-BEC3-C7350F8EC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B73"/>
    <w:rPr>
      <w:rFonts w:ascii="Times New Roman" w:hAnsi="Times New Roman"/>
      <w:sz w:val="24"/>
    </w:rPr>
  </w:style>
  <w:style w:type="paragraph" w:styleId="Heading1">
    <w:name w:val="heading 1"/>
    <w:basedOn w:val="Normal"/>
    <w:next w:val="Normal"/>
    <w:link w:val="Heading1Char"/>
    <w:uiPriority w:val="9"/>
    <w:qFormat/>
    <w:rsid w:val="00AA24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24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246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246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A246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A246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A246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A246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A246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4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24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24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2465"/>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AA2465"/>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AA2465"/>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AA2465"/>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AA2465"/>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AA2465"/>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AA24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24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246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24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2465"/>
    <w:pPr>
      <w:spacing w:before="160"/>
      <w:jc w:val="center"/>
    </w:pPr>
    <w:rPr>
      <w:i/>
      <w:iCs/>
      <w:color w:val="404040" w:themeColor="text1" w:themeTint="BF"/>
    </w:rPr>
  </w:style>
  <w:style w:type="character" w:customStyle="1" w:styleId="QuoteChar">
    <w:name w:val="Quote Char"/>
    <w:basedOn w:val="DefaultParagraphFont"/>
    <w:link w:val="Quote"/>
    <w:uiPriority w:val="29"/>
    <w:rsid w:val="00AA2465"/>
    <w:rPr>
      <w:rFonts w:ascii="Times New Roman" w:hAnsi="Times New Roman"/>
      <w:i/>
      <w:iCs/>
      <w:color w:val="404040" w:themeColor="text1" w:themeTint="BF"/>
      <w:sz w:val="24"/>
    </w:rPr>
  </w:style>
  <w:style w:type="paragraph" w:styleId="ListParagraph">
    <w:name w:val="List Paragraph"/>
    <w:basedOn w:val="Normal"/>
    <w:uiPriority w:val="34"/>
    <w:qFormat/>
    <w:rsid w:val="00AA2465"/>
    <w:pPr>
      <w:ind w:left="720"/>
      <w:contextualSpacing/>
    </w:pPr>
  </w:style>
  <w:style w:type="character" w:styleId="IntenseEmphasis">
    <w:name w:val="Intense Emphasis"/>
    <w:basedOn w:val="DefaultParagraphFont"/>
    <w:uiPriority w:val="21"/>
    <w:qFormat/>
    <w:rsid w:val="00AA2465"/>
    <w:rPr>
      <w:i/>
      <w:iCs/>
      <w:color w:val="0F4761" w:themeColor="accent1" w:themeShade="BF"/>
    </w:rPr>
  </w:style>
  <w:style w:type="paragraph" w:styleId="IntenseQuote">
    <w:name w:val="Intense Quote"/>
    <w:basedOn w:val="Normal"/>
    <w:next w:val="Normal"/>
    <w:link w:val="IntenseQuoteChar"/>
    <w:uiPriority w:val="30"/>
    <w:qFormat/>
    <w:rsid w:val="00AA24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2465"/>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AA2465"/>
    <w:rPr>
      <w:b/>
      <w:bCs/>
      <w:smallCaps/>
      <w:color w:val="0F4761" w:themeColor="accent1" w:themeShade="BF"/>
      <w:spacing w:val="5"/>
    </w:rPr>
  </w:style>
  <w:style w:type="character" w:styleId="Hyperlink">
    <w:name w:val="Hyperlink"/>
    <w:basedOn w:val="DefaultParagraphFont"/>
    <w:uiPriority w:val="99"/>
    <w:unhideWhenUsed/>
    <w:rsid w:val="00AA2465"/>
    <w:rPr>
      <w:color w:val="467886" w:themeColor="hyperlink"/>
      <w:u w:val="single"/>
    </w:rPr>
  </w:style>
  <w:style w:type="character" w:styleId="UnresolvedMention">
    <w:name w:val="Unresolved Mention"/>
    <w:basedOn w:val="DefaultParagraphFont"/>
    <w:uiPriority w:val="99"/>
    <w:semiHidden/>
    <w:unhideWhenUsed/>
    <w:rsid w:val="00AA2465"/>
    <w:rPr>
      <w:color w:val="605E5C"/>
      <w:shd w:val="clear" w:color="auto" w:fill="E1DFDD"/>
    </w:rPr>
  </w:style>
  <w:style w:type="paragraph" w:styleId="Header">
    <w:name w:val="header"/>
    <w:basedOn w:val="Normal"/>
    <w:link w:val="HeaderChar"/>
    <w:uiPriority w:val="99"/>
    <w:unhideWhenUsed/>
    <w:rsid w:val="00AA24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465"/>
    <w:rPr>
      <w:rFonts w:ascii="Times New Roman" w:hAnsi="Times New Roman"/>
      <w:sz w:val="24"/>
    </w:rPr>
  </w:style>
  <w:style w:type="paragraph" w:styleId="Footer">
    <w:name w:val="footer"/>
    <w:basedOn w:val="Normal"/>
    <w:link w:val="FooterChar"/>
    <w:uiPriority w:val="99"/>
    <w:unhideWhenUsed/>
    <w:rsid w:val="00AA24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46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820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n.wikipedia.org/wiki/Zoha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1033</Words>
  <Characters>5889</Characters>
  <Application>Microsoft Office Word</Application>
  <DocSecurity>0</DocSecurity>
  <Lines>49</Lines>
  <Paragraphs>13</Paragraphs>
  <ScaleCrop>false</ScaleCrop>
  <Company/>
  <LinksUpToDate>false</LinksUpToDate>
  <CharactersWithSpaces>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Goodman</dc:creator>
  <cp:keywords/>
  <dc:description/>
  <cp:lastModifiedBy>Mark Goodman</cp:lastModifiedBy>
  <cp:revision>2</cp:revision>
  <dcterms:created xsi:type="dcterms:W3CDTF">2026-10-19T15:07:00Z</dcterms:created>
  <dcterms:modified xsi:type="dcterms:W3CDTF">2026-10-19T15:39:00Z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14af15e2-3790-4022-84a4-8cdb1dc743b8</vt:lpwstr>
  </property>
</Properties>
</file>